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sz w:val="30"/>
          <w:szCs w:val="30"/>
          <w:lang w:val="en-US" w:eastAsia="zh-CN"/>
        </w:rPr>
      </w:pPr>
      <w:r>
        <w:rPr>
          <w:rFonts w:hint="eastAsia" w:ascii="Times New Roman" w:hAnsi="Times New Roman" w:eastAsia="宋体" w:cs="Times New Roman"/>
          <w:b/>
          <w:sz w:val="30"/>
          <w:szCs w:val="30"/>
          <w:lang w:val="en-US" w:eastAsia="zh-CN"/>
        </w:rPr>
        <w:t>安徽波顿机电科技有限公司</w:t>
      </w:r>
    </w:p>
    <w:p>
      <w:pPr>
        <w:spacing w:line="360" w:lineRule="auto"/>
        <w:jc w:val="center"/>
        <w:rPr>
          <w:rFonts w:hint="eastAsia" w:ascii="Times New Roman" w:hAnsi="Times New Roman" w:eastAsia="宋体" w:cs="Times New Roman"/>
          <w:b/>
          <w:sz w:val="30"/>
          <w:szCs w:val="30"/>
          <w:lang w:val="en-US" w:eastAsia="zh-CN"/>
        </w:rPr>
      </w:pPr>
      <w:r>
        <w:rPr>
          <w:rFonts w:hint="eastAsia" w:ascii="Times New Roman" w:hAnsi="Times New Roman" w:eastAsia="宋体" w:cs="Times New Roman"/>
          <w:b/>
          <w:sz w:val="30"/>
          <w:szCs w:val="30"/>
          <w:lang w:val="en-US" w:eastAsia="zh-CN"/>
        </w:rPr>
        <w:t>年产 3000 件齿轮传动产品生产项目（阶段性）</w:t>
      </w:r>
    </w:p>
    <w:p>
      <w:pPr>
        <w:spacing w:line="360" w:lineRule="auto"/>
        <w:jc w:val="center"/>
        <w:rPr>
          <w:rFonts w:hint="eastAsia" w:ascii="Times New Roman" w:hAnsi="Times New Roman" w:eastAsia="宋体" w:cs="Times New Roman"/>
          <w:b/>
          <w:sz w:val="30"/>
          <w:szCs w:val="30"/>
          <w:lang w:val="en-US" w:eastAsia="zh-CN"/>
        </w:rPr>
      </w:pPr>
      <w:r>
        <w:rPr>
          <w:rFonts w:hint="eastAsia" w:ascii="Times New Roman" w:hAnsi="Times New Roman" w:eastAsia="宋体" w:cs="Times New Roman"/>
          <w:b/>
          <w:sz w:val="30"/>
          <w:szCs w:val="30"/>
          <w:lang w:val="en-US" w:eastAsia="zh-CN"/>
        </w:rPr>
        <w:t>（喷丸工区、热处理生产线、机加工区及配套环保设施）</w:t>
      </w:r>
    </w:p>
    <w:p>
      <w:pPr>
        <w:spacing w:line="360" w:lineRule="auto"/>
        <w:jc w:val="center"/>
        <w:rPr>
          <w:rFonts w:hint="default" w:ascii="Times New Roman" w:hAnsi="Times New Roman" w:cs="Times New Roman"/>
          <w:sz w:val="30"/>
          <w:szCs w:val="30"/>
        </w:rPr>
      </w:pPr>
      <w:r>
        <w:rPr>
          <w:rFonts w:hint="default" w:ascii="Times New Roman" w:hAnsi="Times New Roman" w:cs="Times New Roman"/>
          <w:b/>
          <w:sz w:val="30"/>
          <w:szCs w:val="3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1</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14</w:t>
      </w:r>
      <w:r>
        <w:rPr>
          <w:rFonts w:hint="default" w:ascii="Times New Roman" w:hAnsi="Times New Roman" w:cs="Times New Roman"/>
          <w:bCs/>
          <w:color w:val="auto"/>
          <w:sz w:val="24"/>
          <w:lang w:eastAsia="zh-CN"/>
        </w:rPr>
        <w:t>日，</w:t>
      </w:r>
      <w:r>
        <w:rPr>
          <w:rFonts w:hint="default" w:ascii="Times New Roman" w:hAnsi="Times New Roman" w:eastAsia="宋体" w:cs="Times New Roman"/>
          <w:sz w:val="24"/>
          <w:lang w:eastAsia="zh-CN"/>
        </w:rPr>
        <w:t>安徽波顿机电科技有限公司</w:t>
      </w:r>
      <w:r>
        <w:rPr>
          <w:rFonts w:hint="eastAsia" w:ascii="Times New Roman" w:hAnsi="Times New Roman" w:cs="Times New Roman"/>
          <w:bCs/>
          <w:sz w:val="24"/>
          <w:lang w:eastAsia="zh-CN"/>
        </w:rPr>
        <w:t>组织召开了</w:t>
      </w:r>
      <w:r>
        <w:rPr>
          <w:rFonts w:hint="default" w:ascii="Times New Roman" w:hAnsi="Times New Roman" w:eastAsia="宋体" w:cs="Times New Roman"/>
          <w:sz w:val="24"/>
          <w:lang w:eastAsia="zh-CN"/>
        </w:rPr>
        <w:t>年产3000 件齿轮传</w:t>
      </w:r>
      <w:r>
        <w:rPr>
          <w:rFonts w:hint="eastAsia" w:eastAsia="宋体"/>
          <w:sz w:val="24"/>
          <w:lang w:eastAsia="zh-CN"/>
        </w:rPr>
        <w:t>动产品生产项目（阶段性）（喷丸工区、热处理生产线、机加工区及配套环保设施）</w:t>
      </w:r>
      <w:bookmarkStart w:id="0" w:name="_GoBack"/>
      <w:bookmarkEnd w:id="0"/>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会议，参加会议的有安徽泓维环境科技有限公司、安徽波谱检测技术有限公司及邀请的</w:t>
      </w:r>
      <w:r>
        <w:rPr>
          <w:rFonts w:hint="eastAsia" w:ascii="Times New Roman" w:hAnsi="Times New Roman" w:cs="Times New Roman"/>
          <w:bCs/>
          <w:sz w:val="24"/>
          <w:lang w:val="en-US" w:eastAsia="zh-CN"/>
        </w:rPr>
        <w:t>3位专家，与会者踏勘了项目现场，听取了建设单位关于项目建设情况的报告和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pStyle w:val="42"/>
        <w:keepNext w:val="0"/>
        <w:keepLines w:val="0"/>
        <w:pageBreakBefore w:val="0"/>
        <w:kinsoku/>
        <w:wordWrap/>
        <w:overflowPunct/>
        <w:topLinePunct w:val="0"/>
        <w:autoSpaceDE/>
        <w:autoSpaceDN/>
        <w:bidi w:val="0"/>
        <w:adjustRightInd/>
        <w:snapToGrid/>
        <w:spacing w:line="440" w:lineRule="exact"/>
        <w:ind w:firstLine="464" w:firstLineChars="200"/>
        <w:textAlignment w:val="auto"/>
        <w:rPr>
          <w:rFonts w:hint="eastAsia" w:ascii="Times New Roman" w:hAnsi="Times New Roman"/>
          <w:color w:val="0000FF"/>
          <w:sz w:val="24"/>
        </w:rPr>
      </w:pPr>
      <w:r>
        <w:rPr>
          <w:rFonts w:hint="default" w:ascii="Times New Roman" w:hAnsi="Times New Roman" w:cs="Times New Roman"/>
          <w:spacing w:val="-4"/>
          <w:sz w:val="24"/>
          <w:lang w:eastAsia="zh-CN"/>
        </w:rPr>
        <w:t>安徽波顿机电科技有限公</w:t>
      </w:r>
      <w:r>
        <w:rPr>
          <w:rFonts w:hint="default" w:ascii="Times New Roman" w:hAnsi="Times New Roman" w:eastAsia="宋体" w:cs="Times New Roman"/>
          <w:spacing w:val="-4"/>
          <w:sz w:val="24"/>
          <w:lang w:eastAsia="zh-CN"/>
        </w:rPr>
        <w:t>司位于</w:t>
      </w:r>
      <w:r>
        <w:rPr>
          <w:rFonts w:hint="default" w:ascii="Times New Roman" w:hAnsi="Times New Roman" w:eastAsia="宋体" w:cs="Times New Roman"/>
          <w:spacing w:val="-4"/>
          <w:sz w:val="24"/>
          <w:lang w:val="en-US" w:eastAsia="zh-CN"/>
        </w:rPr>
        <w:t>霍山县经三南路以西、纬六路以南、华润电力公司以北</w:t>
      </w:r>
      <w:r>
        <w:rPr>
          <w:rFonts w:hint="default" w:ascii="Times New Roman" w:hAnsi="Times New Roman" w:eastAsia="宋体" w:cs="Times New Roman"/>
          <w:spacing w:val="-4"/>
          <w:sz w:val="24"/>
          <w:lang w:eastAsia="zh-CN"/>
        </w:rPr>
        <w:t>，</w:t>
      </w:r>
      <w:r>
        <w:rPr>
          <w:rFonts w:hint="default" w:ascii="Times New Roman" w:hAnsi="Times New Roman" w:eastAsia="宋体" w:cs="Times New Roman"/>
          <w:spacing w:val="-4"/>
          <w:sz w:val="24"/>
          <w:lang w:val="en-US" w:eastAsia="zh-CN"/>
        </w:rPr>
        <w:t>新建</w:t>
      </w:r>
      <w:r>
        <w:rPr>
          <w:rFonts w:hint="eastAsia" w:ascii="Times New Roman" w:hAnsi="Times New Roman" w:eastAsia="宋体" w:cs="Times New Roman"/>
          <w:spacing w:val="-4"/>
          <w:sz w:val="24"/>
          <w:lang w:val="en-US" w:eastAsia="zh-CN"/>
        </w:rPr>
        <w:t>3</w:t>
      </w:r>
      <w:r>
        <w:rPr>
          <w:rFonts w:hint="default" w:ascii="Times New Roman" w:hAnsi="Times New Roman" w:eastAsia="宋体" w:cs="Times New Roman"/>
          <w:spacing w:val="-4"/>
          <w:sz w:val="24"/>
          <w:lang w:val="en-US" w:eastAsia="zh-CN"/>
        </w:rPr>
        <w:t>座标准化厂房和1座综合楼</w:t>
      </w:r>
      <w:r>
        <w:rPr>
          <w:rFonts w:hint="eastAsia" w:ascii="Times New Roman" w:hAnsi="Times New Roman" w:eastAsia="宋体" w:cs="Times New Roman"/>
          <w:spacing w:val="-4"/>
          <w:sz w:val="24"/>
          <w:lang w:val="en-US" w:eastAsia="zh-CN"/>
        </w:rPr>
        <w:t>，</w:t>
      </w:r>
      <w:r>
        <w:rPr>
          <w:rFonts w:hint="default" w:ascii="Times New Roman" w:hAnsi="Times New Roman" w:eastAsia="宋体" w:cs="Times New Roman"/>
          <w:spacing w:val="-4"/>
          <w:sz w:val="24"/>
          <w:lang w:val="en-US" w:eastAsia="zh-CN"/>
        </w:rPr>
        <w:t>总建筑面积24080m</w:t>
      </w:r>
      <w:r>
        <w:rPr>
          <w:rFonts w:hint="default" w:ascii="Times New Roman" w:hAnsi="Times New Roman" w:eastAsia="宋体" w:cs="Times New Roman"/>
          <w:spacing w:val="-4"/>
          <w:sz w:val="24"/>
          <w:vertAlign w:val="superscript"/>
          <w:lang w:val="en-US" w:eastAsia="zh-CN"/>
        </w:rPr>
        <w:t>2</w:t>
      </w:r>
      <w:r>
        <w:rPr>
          <w:rFonts w:hint="default" w:ascii="Times New Roman" w:hAnsi="Times New Roman" w:eastAsia="宋体" w:cs="Times New Roman"/>
          <w:spacing w:val="-4"/>
          <w:sz w:val="24"/>
          <w:lang w:val="en-US" w:eastAsia="zh-CN"/>
        </w:rPr>
        <w:t>，计容总建筑面积49390m</w:t>
      </w:r>
      <w:r>
        <w:rPr>
          <w:rFonts w:hint="default" w:ascii="Times New Roman" w:hAnsi="Times New Roman" w:eastAsia="宋体" w:cs="Times New Roman"/>
          <w:spacing w:val="-4"/>
          <w:sz w:val="24"/>
          <w:vertAlign w:val="superscript"/>
          <w:lang w:val="en-US" w:eastAsia="zh-CN"/>
        </w:rPr>
        <w:t>2</w:t>
      </w:r>
      <w:r>
        <w:rPr>
          <w:rFonts w:hint="default" w:ascii="Times New Roman" w:hAnsi="Times New Roman" w:eastAsia="宋体" w:cs="Times New Roman"/>
          <w:spacing w:val="-4"/>
          <w:sz w:val="24"/>
          <w:lang w:val="en-US" w:eastAsia="zh-CN"/>
        </w:rPr>
        <w:t>。新上符合国家产业政策的通用机床32台、热处理生产线1条、检验设备1组，现阶段可形成年产齿轮传动产品2000台的生产能力。</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bCs/>
          <w:sz w:val="24"/>
          <w:szCs w:val="24"/>
          <w:lang w:val="en-US" w:eastAsia="zh-CN"/>
        </w:rPr>
      </w:pPr>
      <w:r>
        <w:rPr>
          <w:rFonts w:hint="default" w:ascii="Times New Roman" w:hAnsi="Times New Roman" w:cs="Times New Roman"/>
          <w:bCs/>
          <w:color w:val="auto"/>
          <w:sz w:val="24"/>
          <w:szCs w:val="24"/>
          <w:lang w:val="en-US" w:eastAsia="zh-CN"/>
        </w:rPr>
        <w:t>20</w:t>
      </w:r>
      <w:r>
        <w:rPr>
          <w:rFonts w:hint="eastAsia" w:ascii="Times New Roman" w:hAnsi="Times New Roman" w:cs="Times New Roman"/>
          <w:bCs/>
          <w:color w:val="auto"/>
          <w:sz w:val="24"/>
          <w:szCs w:val="24"/>
          <w:lang w:val="en-US" w:eastAsia="zh-CN"/>
        </w:rPr>
        <w:t>18</w:t>
      </w:r>
      <w:r>
        <w:rPr>
          <w:rFonts w:hint="default" w:ascii="Times New Roman" w:hAnsi="Times New Roman" w:cs="Times New Roman"/>
          <w:bCs/>
          <w:color w:val="auto"/>
          <w:sz w:val="24"/>
          <w:szCs w:val="24"/>
          <w:lang w:val="en-US" w:eastAsia="zh-CN"/>
        </w:rPr>
        <w:t>年</w:t>
      </w:r>
      <w:r>
        <w:rPr>
          <w:rFonts w:hint="eastAsia" w:ascii="Times New Roman" w:hAnsi="Times New Roman" w:cs="Times New Roman"/>
          <w:bCs/>
          <w:color w:val="auto"/>
          <w:sz w:val="24"/>
          <w:szCs w:val="24"/>
          <w:lang w:val="en-US" w:eastAsia="zh-CN"/>
        </w:rPr>
        <w:t>12</w:t>
      </w:r>
      <w:r>
        <w:rPr>
          <w:rFonts w:hint="default" w:ascii="Times New Roman" w:hAnsi="Times New Roman" w:cs="Times New Roman"/>
          <w:bCs/>
          <w:color w:val="auto"/>
          <w:sz w:val="24"/>
          <w:szCs w:val="24"/>
          <w:lang w:val="en-US" w:eastAsia="zh-CN"/>
        </w:rPr>
        <w:t>月，公司委托</w:t>
      </w:r>
      <w:r>
        <w:rPr>
          <w:rFonts w:hint="eastAsia"/>
          <w:sz w:val="24"/>
          <w:lang w:eastAsia="zh-CN"/>
        </w:rPr>
        <w:t>江苏新清源环保有限公司</w:t>
      </w:r>
      <w:r>
        <w:rPr>
          <w:rFonts w:hint="default" w:ascii="Times New Roman" w:hAnsi="Times New Roman" w:cs="Times New Roman"/>
          <w:color w:val="auto"/>
          <w:sz w:val="24"/>
        </w:rPr>
        <w:t>编制</w:t>
      </w:r>
      <w:r>
        <w:rPr>
          <w:rFonts w:hint="default" w:ascii="Times New Roman" w:hAnsi="Times New Roman" w:cs="Times New Roman"/>
          <w:sz w:val="24"/>
        </w:rPr>
        <w:t>《</w:t>
      </w:r>
      <w:r>
        <w:rPr>
          <w:rFonts w:hint="default" w:ascii="Times New Roman" w:hAnsi="Times New Roman" w:cs="Times New Roman"/>
          <w:sz w:val="24"/>
          <w:lang w:eastAsia="zh-CN"/>
        </w:rPr>
        <w:t>年产3000 件齿轮传动产品生产项目</w:t>
      </w:r>
      <w:r>
        <w:rPr>
          <w:rFonts w:hint="default" w:ascii="Times New Roman" w:hAnsi="Times New Roman" w:cs="Times New Roman"/>
          <w:sz w:val="24"/>
          <w:lang w:val="en-US" w:eastAsia="zh-CN"/>
        </w:rPr>
        <w:t>环境影响报告表</w:t>
      </w:r>
      <w:r>
        <w:rPr>
          <w:rFonts w:hint="default" w:ascii="Times New Roman" w:hAnsi="Times New Roman" w:cs="Times New Roman"/>
          <w:sz w:val="24"/>
        </w:rPr>
        <w:t>》</w:t>
      </w:r>
      <w:r>
        <w:rPr>
          <w:rFonts w:hint="default" w:ascii="Times New Roman" w:hAnsi="Times New Roman" w:cs="Times New Roman"/>
          <w:bCs/>
          <w:color w:val="auto"/>
          <w:sz w:val="24"/>
          <w:szCs w:val="24"/>
          <w:lang w:val="en-US" w:eastAsia="zh-CN"/>
        </w:rPr>
        <w:t>，</w:t>
      </w:r>
      <w:r>
        <w:rPr>
          <w:rFonts w:hint="default" w:ascii="Times New Roman" w:hAnsi="Times New Roman" w:eastAsia="宋体" w:cs="Times New Roman"/>
          <w:bCs/>
          <w:sz w:val="24"/>
          <w:szCs w:val="24"/>
          <w:lang w:val="en-US" w:eastAsia="zh-CN"/>
        </w:rPr>
        <w:t>2019年</w:t>
      </w:r>
      <w:r>
        <w:rPr>
          <w:rFonts w:hint="default" w:ascii="Times New Roman" w:hAnsi="Times New Roman" w:cs="Times New Roman"/>
          <w:bCs/>
          <w:sz w:val="24"/>
          <w:szCs w:val="24"/>
          <w:lang w:val="en-US" w:eastAsia="zh-CN"/>
        </w:rPr>
        <w:t>1</w:t>
      </w:r>
      <w:r>
        <w:rPr>
          <w:rFonts w:hint="default" w:ascii="Times New Roman" w:hAnsi="Times New Roman" w:eastAsia="宋体" w:cs="Times New Roman"/>
          <w:bCs/>
          <w:sz w:val="24"/>
          <w:szCs w:val="24"/>
          <w:lang w:val="en-US" w:eastAsia="zh-CN"/>
        </w:rPr>
        <w:t>月22日取得了原六安市</w:t>
      </w:r>
      <w:r>
        <w:rPr>
          <w:rFonts w:hint="default" w:ascii="Times New Roman" w:hAnsi="Times New Roman" w:cs="Times New Roman"/>
          <w:bCs/>
          <w:sz w:val="24"/>
          <w:szCs w:val="24"/>
          <w:lang w:val="en-US" w:eastAsia="zh-CN"/>
        </w:rPr>
        <w:t>霍山县</w:t>
      </w:r>
      <w:r>
        <w:rPr>
          <w:rFonts w:hint="default" w:ascii="Times New Roman" w:hAnsi="Times New Roman" w:eastAsia="宋体" w:cs="Times New Roman"/>
          <w:bCs/>
          <w:sz w:val="24"/>
          <w:szCs w:val="24"/>
          <w:lang w:val="en-US" w:eastAsia="zh-CN"/>
        </w:rPr>
        <w:t>环境保护局</w:t>
      </w:r>
      <w:r>
        <w:rPr>
          <w:rFonts w:hint="default" w:ascii="Times New Roman" w:hAnsi="Times New Roman" w:cs="Times New Roman"/>
          <w:sz w:val="24"/>
          <w:lang w:eastAsia="zh-CN"/>
        </w:rPr>
        <w:t>《</w:t>
      </w:r>
      <w:r>
        <w:rPr>
          <w:rFonts w:hint="default" w:ascii="Times New Roman" w:hAnsi="Times New Roman" w:cs="Times New Roman"/>
          <w:sz w:val="24"/>
        </w:rPr>
        <w:t>关于</w:t>
      </w:r>
      <w:r>
        <w:rPr>
          <w:rFonts w:hint="default" w:ascii="Times New Roman" w:hAnsi="Times New Roman" w:eastAsia="宋体" w:cs="Times New Roman"/>
          <w:sz w:val="24"/>
          <w:lang w:eastAsia="zh-CN"/>
        </w:rPr>
        <w:t>安徽波顿机电科技有限公司年产3000 件齿轮传</w:t>
      </w:r>
      <w:r>
        <w:rPr>
          <w:rFonts w:hint="eastAsia" w:eastAsia="宋体"/>
          <w:sz w:val="24"/>
          <w:lang w:eastAsia="zh-CN"/>
        </w:rPr>
        <w:t>动产品生产项目</w:t>
      </w:r>
      <w:r>
        <w:rPr>
          <w:rFonts w:hint="eastAsia"/>
          <w:sz w:val="24"/>
        </w:rPr>
        <w:t>环境影响报告表的批复</w:t>
      </w:r>
      <w:r>
        <w:rPr>
          <w:rFonts w:hint="default" w:ascii="Times New Roman" w:hAnsi="Times New Roman" w:eastAsia="宋体" w:cs="Times New Roman"/>
          <w:color w:val="000000"/>
          <w:sz w:val="24"/>
        </w:rPr>
        <w:t>》（</w:t>
      </w:r>
      <w:r>
        <w:rPr>
          <w:rFonts w:hint="default" w:ascii="Times New Roman" w:hAnsi="Times New Roman" w:cs="Times New Roman"/>
          <w:sz w:val="24"/>
          <w:lang w:eastAsia="zh-CN"/>
        </w:rPr>
        <w:t>霍环评</w:t>
      </w:r>
      <w:r>
        <w:rPr>
          <w:rFonts w:hint="default" w:ascii="Times New Roman" w:hAnsi="Times New Roman" w:eastAsia="宋体" w:cs="Times New Roman"/>
          <w:sz w:val="24"/>
        </w:rPr>
        <w:t>〔20</w:t>
      </w:r>
      <w:r>
        <w:rPr>
          <w:rFonts w:hint="default" w:ascii="Times New Roman" w:hAnsi="Times New Roman" w:cs="Times New Roman"/>
          <w:sz w:val="24"/>
          <w:lang w:val="en-US" w:eastAsia="zh-CN"/>
        </w:rPr>
        <w:t>19</w:t>
      </w:r>
      <w:r>
        <w:rPr>
          <w:rFonts w:hint="default" w:ascii="Times New Roman" w:hAnsi="Times New Roman" w:eastAsia="宋体" w:cs="Times New Roman"/>
          <w:sz w:val="24"/>
        </w:rPr>
        <w:t>〕</w:t>
      </w:r>
      <w:r>
        <w:rPr>
          <w:rFonts w:hint="default" w:ascii="Times New Roman" w:hAnsi="Times New Roman" w:cs="Times New Roman"/>
          <w:sz w:val="24"/>
          <w:lang w:val="en-US" w:eastAsia="zh-CN"/>
        </w:rPr>
        <w:t>5</w:t>
      </w:r>
      <w:r>
        <w:rPr>
          <w:rFonts w:hint="default" w:ascii="Times New Roman" w:hAnsi="Times New Roman" w:eastAsia="宋体" w:cs="Times New Roman"/>
          <w:sz w:val="24"/>
        </w:rPr>
        <w:t>号</w:t>
      </w:r>
      <w:r>
        <w:rPr>
          <w:rFonts w:hint="default" w:ascii="Times New Roman" w:hAnsi="Times New Roman" w:eastAsia="宋体" w:cs="Times New Roman"/>
          <w:color w:val="000000"/>
          <w:sz w:val="24"/>
        </w:rPr>
        <w:t>）</w:t>
      </w:r>
      <w:r>
        <w:rPr>
          <w:rFonts w:hint="default" w:ascii="Times New Roman" w:hAnsi="Times New Roman" w:eastAsia="宋体" w:cs="Times New Roman"/>
          <w:bCs/>
          <w:sz w:val="24"/>
          <w:szCs w:val="24"/>
          <w:lang w:val="en-US" w:eastAsia="zh-CN"/>
        </w:rPr>
        <w:t>。20</w:t>
      </w:r>
      <w:r>
        <w:rPr>
          <w:rFonts w:hint="eastAsia" w:ascii="Times New Roman" w:hAnsi="Times New Roman" w:cs="Times New Roman"/>
          <w:bCs/>
          <w:sz w:val="24"/>
          <w:szCs w:val="24"/>
          <w:lang w:val="en-US" w:eastAsia="zh-CN"/>
        </w:rPr>
        <w:t>19</w:t>
      </w:r>
      <w:r>
        <w:rPr>
          <w:rFonts w:hint="default" w:ascii="Times New Roman" w:hAnsi="Times New Roman" w:eastAsia="宋体" w:cs="Times New Roman"/>
          <w:bCs/>
          <w:sz w:val="24"/>
          <w:szCs w:val="24"/>
          <w:lang w:val="en-US" w:eastAsia="zh-CN"/>
        </w:rPr>
        <w:t>年</w:t>
      </w:r>
      <w:r>
        <w:rPr>
          <w:rFonts w:hint="eastAsia" w:ascii="Times New Roman" w:hAnsi="Times New Roman" w:cs="Times New Roman"/>
          <w:bCs/>
          <w:sz w:val="24"/>
          <w:szCs w:val="24"/>
          <w:lang w:val="en-US" w:eastAsia="zh-CN"/>
        </w:rPr>
        <w:t>7</w:t>
      </w:r>
      <w:r>
        <w:rPr>
          <w:rFonts w:hint="default" w:ascii="Times New Roman" w:hAnsi="Times New Roman" w:eastAsia="宋体" w:cs="Times New Roman"/>
          <w:bCs/>
          <w:sz w:val="24"/>
          <w:szCs w:val="24"/>
          <w:lang w:val="en-US" w:eastAsia="zh-CN"/>
        </w:rPr>
        <w:t>月开工</w:t>
      </w:r>
      <w:r>
        <w:rPr>
          <w:rFonts w:hint="eastAsia" w:ascii="Times New Roman" w:hAnsi="Times New Roman" w:eastAsia="宋体" w:cs="Times New Roman"/>
          <w:bCs/>
          <w:sz w:val="24"/>
          <w:szCs w:val="24"/>
          <w:lang w:val="en-US" w:eastAsia="zh-CN"/>
        </w:rPr>
        <w:t>，于2022年</w:t>
      </w:r>
      <w:r>
        <w:rPr>
          <w:rFonts w:hint="eastAsia" w:ascii="Times New Roman" w:hAnsi="Times New Roman" w:cs="Times New Roman"/>
          <w:bCs/>
          <w:sz w:val="24"/>
          <w:szCs w:val="24"/>
          <w:lang w:val="en-US" w:eastAsia="zh-CN"/>
        </w:rPr>
        <w:t>11</w:t>
      </w:r>
      <w:r>
        <w:rPr>
          <w:rFonts w:hint="eastAsia" w:ascii="Times New Roman" w:hAnsi="Times New Roman" w:eastAsia="宋体" w:cs="Times New Roman"/>
          <w:bCs/>
          <w:sz w:val="24"/>
          <w:szCs w:val="24"/>
          <w:lang w:val="en-US" w:eastAsia="zh-CN"/>
        </w:rPr>
        <w:t>月开始调试。</w:t>
      </w:r>
    </w:p>
    <w:p>
      <w:pPr>
        <w:pStyle w:val="6"/>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6"/>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实际总投资</w:t>
      </w:r>
      <w:r>
        <w:rPr>
          <w:rFonts w:hint="eastAsia" w:ascii="Times New Roman" w:hAnsi="Times New Roman" w:cs="Times New Roman"/>
          <w:color w:val="auto"/>
          <w:sz w:val="24"/>
          <w:lang w:val="en-US" w:eastAsia="zh-CN"/>
        </w:rPr>
        <w:t>5500</w:t>
      </w:r>
      <w:r>
        <w:rPr>
          <w:rFonts w:hint="default" w:ascii="Times New Roman" w:hAnsi="Times New Roman" w:eastAsia="宋体" w:cs="Times New Roman"/>
          <w:color w:val="auto"/>
          <w:sz w:val="24"/>
          <w:lang w:val="en-US" w:eastAsia="zh-CN"/>
        </w:rPr>
        <w:t>万元，环保投资</w:t>
      </w:r>
      <w:r>
        <w:rPr>
          <w:rFonts w:hint="eastAsia" w:ascii="Times New Roman" w:hAnsi="Times New Roman" w:cs="Times New Roman"/>
          <w:color w:val="auto"/>
          <w:sz w:val="24"/>
          <w:lang w:val="en-US" w:eastAsia="zh-CN"/>
        </w:rPr>
        <w:t>35.4</w:t>
      </w:r>
      <w:r>
        <w:rPr>
          <w:rFonts w:hint="default" w:ascii="Times New Roman" w:hAnsi="Times New Roman" w:eastAsia="宋体" w:cs="Times New Roman"/>
          <w:color w:val="auto"/>
          <w:sz w:val="24"/>
          <w:lang w:val="en-US" w:eastAsia="zh-CN"/>
        </w:rPr>
        <w:t>万元，占总投资额的</w:t>
      </w:r>
      <w:r>
        <w:rPr>
          <w:rFonts w:hint="eastAsia" w:ascii="Times New Roman" w:hAnsi="Times New Roman" w:cs="Times New Roman"/>
          <w:color w:val="auto"/>
          <w:sz w:val="24"/>
          <w:lang w:val="en-US" w:eastAsia="zh-CN"/>
        </w:rPr>
        <w:t>0.64</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color w:val="333333"/>
          <w:sz w:val="24"/>
          <w:szCs w:val="24"/>
        </w:rPr>
      </w:pPr>
      <w:r>
        <w:rPr>
          <w:rFonts w:hint="eastAsia" w:ascii="Times New Roman" w:hAnsi="Times New Roman" w:cs="Times New Roman"/>
          <w:b/>
          <w:color w:val="333333"/>
          <w:sz w:val="24"/>
          <w:szCs w:val="24"/>
          <w:lang w:eastAsia="zh-CN"/>
        </w:rPr>
        <w:t>二</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cs="Times New Roman"/>
          <w:color w:val="auto"/>
          <w:sz w:val="24"/>
        </w:rPr>
      </w:pPr>
      <w:r>
        <w:rPr>
          <w:b w:val="0"/>
          <w:bCs/>
          <w:sz w:val="24"/>
          <w:szCs w:val="24"/>
        </w:rPr>
        <w:t>建设项目厂区排水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rFonts w:hint="eastAsia" w:ascii="Times New Roman" w:hAnsi="Times New Roman" w:eastAsia="宋体" w:cs="Times New Roman"/>
          <w:b w:val="0"/>
          <w:bCs/>
          <w:sz w:val="24"/>
          <w:szCs w:val="24"/>
          <w:lang w:val="en-US" w:eastAsia="zh-CN"/>
        </w:rPr>
        <w:t>用水为切削液配置</w:t>
      </w:r>
      <w:r>
        <w:rPr>
          <w:rFonts w:hint="eastAsia" w:ascii="宋体" w:hAnsi="宋体" w:eastAsia="宋体" w:cs="宋体"/>
          <w:color w:val="000000"/>
          <w:kern w:val="0"/>
          <w:sz w:val="24"/>
          <w:szCs w:val="24"/>
          <w:lang w:val="en-US" w:eastAsia="zh-CN" w:bidi="ar"/>
        </w:rPr>
        <w:t>用水</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清洗液配</w:t>
      </w:r>
      <w:r>
        <w:rPr>
          <w:rFonts w:hint="eastAsia" w:ascii="Times New Roman" w:hAnsi="Times New Roman" w:eastAsia="宋体" w:cs="Times New Roman"/>
          <w:b w:val="0"/>
          <w:bCs/>
          <w:sz w:val="24"/>
          <w:szCs w:val="24"/>
          <w:lang w:val="en-US" w:eastAsia="zh-CN"/>
        </w:rPr>
        <w:t>置用水、清洗用水和生活用水，生产废水经清洗机处理后循环使用，不外排</w:t>
      </w:r>
      <w:r>
        <w:rPr>
          <w:rFonts w:hint="default" w:ascii="Times New Roman" w:hAnsi="Times New Roman" w:eastAsia="宋体" w:cs="Times New Roman"/>
          <w:b w:val="0"/>
          <w:bCs/>
          <w:sz w:val="24"/>
          <w:szCs w:val="24"/>
          <w:lang w:eastAsia="zh-CN"/>
        </w:rPr>
        <w:t>；</w:t>
      </w:r>
      <w:r>
        <w:rPr>
          <w:rFonts w:hint="eastAsia" w:ascii="Times New Roman" w:hAnsi="Times New Roman" w:eastAsia="宋体" w:cs="Times New Roman"/>
          <w:b w:val="0"/>
          <w:bCs/>
          <w:sz w:val="24"/>
          <w:szCs w:val="24"/>
          <w:lang w:val="en-US" w:eastAsia="zh-CN"/>
        </w:rPr>
        <w:t>生</w:t>
      </w:r>
      <w:r>
        <w:rPr>
          <w:rFonts w:hint="eastAsia" w:ascii="Times New Roman" w:hAnsi="Times New Roman" w:eastAsia="宋体" w:cs="Times New Roman"/>
          <w:color w:val="auto"/>
          <w:sz w:val="24"/>
          <w:lang w:val="en-US" w:eastAsia="zh-CN"/>
        </w:rPr>
        <w:t>活污水经化粪池处理后</w:t>
      </w:r>
      <w:r>
        <w:rPr>
          <w:rFonts w:hint="eastAsia" w:ascii="Times New Roman" w:hAnsi="Times New Roman" w:eastAsia="宋体" w:cs="Times New Roman"/>
          <w:color w:val="auto"/>
          <w:sz w:val="24"/>
          <w:lang w:eastAsia="zh-CN"/>
        </w:rPr>
        <w:t>排入霍山经济开发区工业</w:t>
      </w:r>
      <w:r>
        <w:rPr>
          <w:rFonts w:hint="default" w:ascii="Times New Roman" w:hAnsi="Times New Roman" w:eastAsia="宋体" w:cs="Times New Roman"/>
          <w:color w:val="auto"/>
          <w:sz w:val="24"/>
          <w:lang w:eastAsia="zh-CN"/>
        </w:rPr>
        <w:t>污水处理厂</w:t>
      </w:r>
      <w:r>
        <w:rPr>
          <w:rFonts w:hint="eastAsia" w:ascii="Times New Roman" w:hAnsi="Times New Roman" w:eastAsia="宋体" w:cs="Times New Roman"/>
          <w:color w:val="auto"/>
          <w:sz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 w:val="0"/>
          <w:bCs/>
          <w:color w:val="000000"/>
          <w:kern w:val="0"/>
          <w:sz w:val="24"/>
          <w:szCs w:val="24"/>
          <w:lang w:val="en-US" w:eastAsia="zh-CN" w:bidi="ar"/>
        </w:rPr>
      </w:pPr>
      <w:r>
        <w:rPr>
          <w:rFonts w:hint="default" w:ascii="Times New Roman" w:hAnsi="Times New Roman" w:eastAsia="宋体" w:cs="Times New Roman"/>
          <w:b w:val="0"/>
          <w:bCs/>
          <w:color w:val="000000"/>
          <w:kern w:val="0"/>
          <w:sz w:val="24"/>
          <w:szCs w:val="24"/>
          <w:lang w:val="en-US" w:eastAsia="zh-CN" w:bidi="ar"/>
        </w:rPr>
        <w:t>现阶段废气主要为抛丸粉尘和油淬废气。抛丸粉尘经布袋除尘器处理后通过1根15m高排气筒排放；油淬废气收集后经过静电式油烟净化器处理后经 15m 高排气筒排放。</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72" w:firstLineChars="200"/>
        <w:jc w:val="both"/>
        <w:textAlignment w:val="auto"/>
        <w:rPr>
          <w:rFonts w:hint="eastAsia"/>
          <w:spacing w:val="6"/>
          <w:sz w:val="24"/>
          <w:lang w:eastAsia="zh-CN"/>
        </w:rPr>
      </w:pPr>
      <w:r>
        <w:rPr>
          <w:rFonts w:ascii="宋体" w:hAnsi="宋体" w:eastAsia="宋体" w:cs="宋体"/>
          <w:spacing w:val="-2"/>
          <w:sz w:val="24"/>
          <w:szCs w:val="24"/>
        </w:rPr>
        <w:t>边角料、</w:t>
      </w:r>
      <w:r>
        <w:rPr>
          <w:rFonts w:ascii="宋体" w:hAnsi="宋体" w:eastAsia="宋体" w:cs="宋体"/>
          <w:spacing w:val="-10"/>
          <w:sz w:val="24"/>
          <w:szCs w:val="24"/>
        </w:rPr>
        <w:t>制氮机产生的废过滤材料</w:t>
      </w:r>
      <w:r>
        <w:rPr>
          <w:rFonts w:hint="eastAsia"/>
          <w:sz w:val="24"/>
          <w:highlight w:val="none"/>
          <w:lang w:eastAsia="zh-CN"/>
        </w:rPr>
        <w:t>集中</w:t>
      </w:r>
      <w:r>
        <w:rPr>
          <w:rFonts w:hint="eastAsia"/>
          <w:sz w:val="24"/>
        </w:rPr>
        <w:t>收集于</w:t>
      </w:r>
      <w:r>
        <w:rPr>
          <w:rFonts w:hint="eastAsia"/>
          <w:sz w:val="24"/>
          <w:lang w:eastAsia="zh-CN"/>
        </w:rPr>
        <w:t>一般工业固废暂存场所</w:t>
      </w:r>
      <w:r>
        <w:rPr>
          <w:rFonts w:hint="eastAsia"/>
          <w:sz w:val="24"/>
        </w:rPr>
        <w:t>后定期资源外售</w:t>
      </w:r>
      <w:r>
        <w:rPr>
          <w:sz w:val="24"/>
          <w:szCs w:val="24"/>
        </w:rPr>
        <w:t>；</w:t>
      </w:r>
      <w:r>
        <w:rPr>
          <w:rFonts w:ascii="宋体" w:hAnsi="宋体" w:eastAsia="宋体" w:cs="宋体"/>
          <w:spacing w:val="-2"/>
          <w:sz w:val="24"/>
          <w:szCs w:val="24"/>
        </w:rPr>
        <w:t>废切削液</w:t>
      </w:r>
      <w:r>
        <w:rPr>
          <w:rFonts w:hint="eastAsia"/>
          <w:sz w:val="24"/>
          <w:szCs w:val="24"/>
          <w:lang w:eastAsia="zh-CN"/>
        </w:rPr>
        <w:t>、</w:t>
      </w:r>
      <w:r>
        <w:rPr>
          <w:rFonts w:ascii="宋体" w:hAnsi="宋体" w:eastAsia="宋体" w:cs="宋体"/>
          <w:spacing w:val="-10"/>
          <w:sz w:val="24"/>
          <w:szCs w:val="24"/>
        </w:rPr>
        <w:t>废淬火油及残渣</w:t>
      </w:r>
      <w:r>
        <w:rPr>
          <w:rFonts w:hint="eastAsia" w:ascii="宋体" w:hAnsi="宋体" w:eastAsia="宋体" w:cs="宋体"/>
          <w:spacing w:val="-10"/>
          <w:sz w:val="24"/>
          <w:szCs w:val="24"/>
          <w:lang w:eastAsia="zh-CN"/>
        </w:rPr>
        <w:t>、</w:t>
      </w:r>
      <w:r>
        <w:rPr>
          <w:rFonts w:ascii="宋体" w:hAnsi="宋体" w:eastAsia="宋体" w:cs="宋体"/>
          <w:spacing w:val="-10"/>
          <w:sz w:val="24"/>
          <w:szCs w:val="24"/>
        </w:rPr>
        <w:t>废包装桶</w:t>
      </w:r>
      <w:r>
        <w:rPr>
          <w:rFonts w:hint="eastAsia"/>
          <w:b w:val="0"/>
          <w:bCs w:val="0"/>
          <w:sz w:val="24"/>
          <w:szCs w:val="24"/>
          <w:lang w:eastAsia="zh-CN"/>
        </w:rPr>
        <w:t>规范收集</w:t>
      </w:r>
      <w:r>
        <w:rPr>
          <w:rFonts w:hint="eastAsia" w:ascii="宋体" w:hAnsi="宋体" w:eastAsia="宋体" w:cs="宋体"/>
          <w:spacing w:val="-10"/>
          <w:sz w:val="24"/>
          <w:szCs w:val="24"/>
          <w:lang w:eastAsia="zh-CN"/>
        </w:rPr>
        <w:t>，分类暂存于危险废物暂存间后委托有相应处理资质的单位进行处理；</w:t>
      </w:r>
      <w:r>
        <w:rPr>
          <w:rFonts w:hint="default"/>
          <w:spacing w:val="6"/>
          <w:sz w:val="24"/>
        </w:rPr>
        <w:t>废弃的含油抹布、劳保用品</w:t>
      </w:r>
      <w:r>
        <w:rPr>
          <w:rFonts w:hint="eastAsia"/>
          <w:spacing w:val="6"/>
          <w:sz w:val="24"/>
          <w:lang w:eastAsia="zh-CN"/>
        </w:rPr>
        <w:t>未分类收集混入生活垃圾</w:t>
      </w:r>
      <w:r>
        <w:rPr>
          <w:rFonts w:hint="default"/>
          <w:spacing w:val="6"/>
          <w:sz w:val="24"/>
        </w:rPr>
        <w:t>统一交由环卫部门清运</w:t>
      </w:r>
      <w:r>
        <w:rPr>
          <w:rFonts w:hint="eastAsia"/>
          <w:spacing w:val="6"/>
          <w:sz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2" w:firstLineChars="200"/>
        <w:jc w:val="both"/>
        <w:textAlignment w:val="auto"/>
        <w:rPr>
          <w:rFonts w:hint="default" w:eastAsia="宋体"/>
          <w:b/>
          <w:bCs/>
          <w:sz w:val="24"/>
          <w:szCs w:val="24"/>
        </w:rPr>
      </w:pPr>
      <w:r>
        <w:rPr>
          <w:rFonts w:hint="eastAsia"/>
          <w:b/>
          <w:bCs/>
          <w:sz w:val="24"/>
          <w:szCs w:val="24"/>
          <w:lang w:eastAsia="zh-CN"/>
        </w:rPr>
        <w:t>三</w:t>
      </w:r>
      <w:r>
        <w:rPr>
          <w:rFonts w:hint="default" w:eastAsia="宋体"/>
          <w:b/>
          <w:bCs/>
          <w:sz w:val="24"/>
          <w:szCs w:val="24"/>
        </w:rPr>
        <w:t>、环境保护设施调试效果</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C0C0C"/>
          <w:sz w:val="24"/>
          <w:szCs w:val="24"/>
        </w:rPr>
      </w:pPr>
      <w:r>
        <w:rPr>
          <w:rFonts w:hint="default" w:ascii="Times New Roman" w:hAnsi="Times New Roman" w:cs="Times New Roman"/>
          <w:bCs/>
          <w:sz w:val="24"/>
          <w:szCs w:val="24"/>
        </w:rPr>
        <w:t>1、废气：</w:t>
      </w:r>
      <w:r>
        <w:rPr>
          <w:rFonts w:hint="default" w:ascii="Times New Roman" w:hAnsi="Times New Roman" w:eastAsia="宋体" w:cs="Times New Roman"/>
          <w:color w:val="0C0C0C"/>
          <w:sz w:val="24"/>
          <w:szCs w:val="24"/>
          <w:lang w:eastAsia="zh-CN"/>
        </w:rPr>
        <w:t>废气主要为</w:t>
      </w:r>
      <w:r>
        <w:rPr>
          <w:rFonts w:hint="eastAsia" w:ascii="Times New Roman" w:hAnsi="Times New Roman" w:eastAsia="宋体" w:cs="Times New Roman"/>
          <w:color w:val="0C0C0C"/>
          <w:sz w:val="24"/>
          <w:szCs w:val="24"/>
          <w:lang w:eastAsia="zh-CN"/>
        </w:rPr>
        <w:t>抛丸粉尘</w:t>
      </w:r>
      <w:r>
        <w:rPr>
          <w:rFonts w:hint="default" w:ascii="Times New Roman" w:hAnsi="Times New Roman" w:eastAsia="宋体" w:cs="Times New Roman"/>
          <w:color w:val="0C0C0C"/>
          <w:sz w:val="24"/>
          <w:szCs w:val="24"/>
          <w:lang w:eastAsia="zh-CN"/>
        </w:rPr>
        <w:t>、</w:t>
      </w:r>
      <w:r>
        <w:rPr>
          <w:rFonts w:hint="eastAsia" w:ascii="Times New Roman" w:hAnsi="Times New Roman" w:eastAsia="宋体" w:cs="Times New Roman"/>
          <w:color w:val="0C0C0C"/>
          <w:sz w:val="24"/>
          <w:szCs w:val="24"/>
          <w:vertAlign w:val="baseline"/>
          <w:lang w:val="en-US" w:eastAsia="zh-CN"/>
        </w:rPr>
        <w:t>油淬废气</w:t>
      </w:r>
      <w:r>
        <w:rPr>
          <w:rFonts w:hint="default" w:ascii="Times New Roman" w:hAnsi="Times New Roman" w:eastAsia="宋体" w:cs="Times New Roman"/>
          <w:color w:val="0C0C0C"/>
          <w:sz w:val="24"/>
          <w:szCs w:val="24"/>
          <w:lang w:eastAsia="zh-CN"/>
        </w:rPr>
        <w:t>，根据监测结果</w:t>
      </w:r>
      <w:r>
        <w:rPr>
          <w:rFonts w:hint="default" w:ascii="Times New Roman" w:hAnsi="Times New Roman" w:eastAsia="宋体" w:cs="Times New Roman"/>
          <w:color w:val="0C0C0C"/>
          <w:sz w:val="24"/>
          <w:szCs w:val="24"/>
        </w:rPr>
        <w:t>，</w:t>
      </w:r>
      <w:r>
        <w:rPr>
          <w:rFonts w:hint="eastAsia" w:ascii="Times New Roman" w:hAnsi="宋体" w:eastAsia="宋体" w:cs="Times New Roman"/>
          <w:sz w:val="24"/>
          <w:lang w:eastAsia="zh-CN"/>
        </w:rPr>
        <w:t>颗粒物、非甲烷总烃有组织排放满足</w:t>
      </w:r>
      <w:r>
        <w:rPr>
          <w:rFonts w:hint="eastAsia" w:ascii="Times New Roman" w:hAnsi="宋体" w:eastAsia="宋体" w:cs="Times New Roman"/>
          <w:sz w:val="24"/>
        </w:rPr>
        <w:t>《大气污染物综合排放标准》（GB16297- 1996）中二级</w:t>
      </w:r>
      <w:r>
        <w:rPr>
          <w:rFonts w:hint="eastAsia" w:ascii="Times New Roman" w:hAnsi="宋体" w:eastAsia="宋体" w:cs="Times New Roman"/>
          <w:sz w:val="24"/>
          <w:lang w:eastAsia="zh-CN"/>
        </w:rPr>
        <w:t>标准及无组织排放浓度限值要求。</w:t>
      </w:r>
    </w:p>
    <w:p>
      <w:pPr>
        <w:pStyle w:val="38"/>
        <w:keepNext w:val="0"/>
        <w:keepLines w:val="0"/>
        <w:pageBreakBefore w:val="0"/>
        <w:kinsoku/>
        <w:wordWrap/>
        <w:overflowPunct/>
        <w:topLinePunct w:val="0"/>
        <w:autoSpaceDE/>
        <w:autoSpaceDN/>
        <w:bidi w:val="0"/>
        <w:adjustRightInd/>
        <w:snapToGrid/>
        <w:spacing w:line="440" w:lineRule="exact"/>
        <w:jc w:val="both"/>
        <w:textAlignment w:val="auto"/>
        <w:rPr>
          <w:rFonts w:hint="default" w:ascii="Times New Roman" w:hAnsi="Times New Roman" w:eastAsia="宋体" w:cs="Times New Roman"/>
        </w:rPr>
      </w:pPr>
      <w:r>
        <w:rPr>
          <w:rFonts w:hint="default" w:ascii="Times New Roman" w:hAnsi="Times New Roman" w:eastAsia="宋体" w:cs="Times New Roman"/>
          <w:b w:val="0"/>
          <w:bCs w:val="0"/>
          <w:color w:val="000000"/>
          <w:kern w:val="2"/>
          <w:sz w:val="24"/>
          <w:szCs w:val="24"/>
          <w:lang w:val="en-US" w:eastAsia="zh-CN" w:bidi="ar-SA"/>
        </w:rPr>
        <w:t>2、噪声：</w:t>
      </w:r>
      <w:r>
        <w:rPr>
          <w:rFonts w:hint="default" w:ascii="Times New Roman" w:hAnsi="Times New Roman" w:eastAsia="宋体" w:cs="Times New Roman"/>
        </w:rPr>
        <w:t>验收监测期间，</w:t>
      </w:r>
      <w:r>
        <w:rPr>
          <w:rFonts w:eastAsia="宋体" w:cs="Times New Roman"/>
        </w:rPr>
        <w:t>项目四至厂界昼间噪声</w:t>
      </w:r>
      <w:r>
        <w:rPr>
          <w:rFonts w:ascii="Times New Roman" w:hAnsi="Times New Roman" w:eastAsia="宋体" w:cs="Times New Roman"/>
        </w:rPr>
        <w:t>在</w:t>
      </w:r>
      <w:r>
        <w:rPr>
          <w:rFonts w:hint="eastAsia" w:ascii="Times New Roman" w:hAnsi="Times New Roman" w:eastAsia="宋体" w:cs="Times New Roman"/>
          <w:lang w:val="en-US" w:eastAsia="zh-CN"/>
        </w:rPr>
        <w:t>52.3</w:t>
      </w:r>
      <w:r>
        <w:rPr>
          <w:rFonts w:ascii="Times New Roman" w:hAnsi="Times New Roman" w:eastAsia="宋体" w:cs="Times New Roman"/>
        </w:rPr>
        <w:t>dB</w:t>
      </w:r>
      <w:r>
        <w:rPr>
          <w:rFonts w:hint="eastAsia" w:ascii="Times New Roman" w:hAnsi="Times New Roman" w:eastAsia="宋体" w:cs="Times New Roman"/>
        </w:rPr>
        <w:t>（</w:t>
      </w:r>
      <w:r>
        <w:rPr>
          <w:rFonts w:ascii="Times New Roman" w:hAnsi="Times New Roman" w:eastAsia="宋体" w:cs="Times New Roman"/>
        </w:rPr>
        <w:t>A</w:t>
      </w:r>
      <w:r>
        <w:rPr>
          <w:rFonts w:hint="eastAsia" w:ascii="Times New Roman" w:hAnsi="Times New Roman" w:eastAsia="宋体" w:cs="Times New Roman"/>
        </w:rPr>
        <w:t>）</w:t>
      </w:r>
      <w:r>
        <w:rPr>
          <w:rFonts w:hint="eastAsia" w:ascii="Times New Roman" w:hAnsi="Times New Roman" w:eastAsia="宋体" w:cs="Times New Roman"/>
          <w:lang w:val="en-US" w:eastAsia="zh-CN"/>
        </w:rPr>
        <w:t>- 56.2</w:t>
      </w:r>
      <w:r>
        <w:rPr>
          <w:rFonts w:ascii="Times New Roman" w:hAnsi="Times New Roman" w:eastAsia="宋体" w:cs="Times New Roman"/>
        </w:rPr>
        <w:t>dB</w:t>
      </w:r>
      <w:r>
        <w:rPr>
          <w:rFonts w:hint="eastAsia" w:ascii="Times New Roman" w:hAnsi="Times New Roman" w:eastAsia="宋体" w:cs="Times New Roman"/>
        </w:rPr>
        <w:t>（</w:t>
      </w:r>
      <w:r>
        <w:rPr>
          <w:rFonts w:ascii="Times New Roman" w:hAnsi="Times New Roman" w:eastAsia="宋体" w:cs="Times New Roman"/>
        </w:rPr>
        <w:t>A</w:t>
      </w:r>
      <w:r>
        <w:rPr>
          <w:rFonts w:hint="eastAsia" w:ascii="Times New Roman" w:hAnsi="Times New Roman" w:eastAsia="宋体" w:cs="Times New Roman"/>
        </w:rPr>
        <w:t>）</w:t>
      </w:r>
      <w:r>
        <w:rPr>
          <w:rFonts w:eastAsia="宋体" w:cs="Times New Roman"/>
        </w:rPr>
        <w:t>之间，监测结果均符合《工业企业厂界环境噪声排放标准》（GB12348-2008）</w:t>
      </w:r>
      <w:r>
        <w:rPr>
          <w:rFonts w:hint="eastAsia" w:eastAsia="宋体" w:cs="Times New Roman"/>
        </w:rPr>
        <w:t>3</w:t>
      </w:r>
      <w:r>
        <w:rPr>
          <w:rFonts w:eastAsia="宋体" w:cs="Times New Roman"/>
        </w:rPr>
        <w:t>类区标准限值要求。</w:t>
      </w:r>
    </w:p>
    <w:p>
      <w:pPr>
        <w:pStyle w:val="1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w:t>
      </w:r>
      <w:r>
        <w:rPr>
          <w:rFonts w:hint="eastAsia" w:ascii="Times New Roman" w:hAnsi="Times New Roman" w:cs="Times New Roman"/>
          <w:bCs/>
          <w:kern w:val="2"/>
          <w:lang w:eastAsia="zh-CN"/>
        </w:rPr>
        <w:t>阶段性</w:t>
      </w:r>
      <w:r>
        <w:rPr>
          <w:rFonts w:hint="default" w:ascii="Times New Roman" w:hAnsi="Times New Roman" w:eastAsia="宋体" w:cs="Times New Roman"/>
          <w:bCs/>
          <w:kern w:val="2"/>
        </w:rPr>
        <w:t>竣工环境保护验收。</w:t>
      </w:r>
    </w:p>
    <w:p>
      <w:pPr>
        <w:pStyle w:val="1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44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440" w:lineRule="exact"/>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6"/>
        <w:keepNext w:val="0"/>
        <w:keepLines w:val="0"/>
        <w:pageBreakBefore w:val="0"/>
        <w:kinsoku/>
        <w:wordWrap/>
        <w:overflowPunct/>
        <w:topLinePunct w:val="0"/>
        <w:autoSpaceDE/>
        <w:autoSpaceDN/>
        <w:bidi w:val="0"/>
        <w:adjustRightInd/>
        <w:snapToGrid/>
        <w:spacing w:line="440" w:lineRule="exact"/>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eastAsia="宋体"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eastAsia="宋体" w:cs="Times New Roman"/>
          <w:b/>
          <w:bCs/>
          <w:color w:val="auto"/>
          <w:kern w:val="2"/>
          <w:sz w:val="24"/>
          <w:szCs w:val="24"/>
          <w:lang w:val="en-US" w:eastAsia="zh-CN" w:bidi="ar-SA"/>
        </w:rPr>
        <w:t>1</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eastAsia="宋体" w:cs="Times New Roman"/>
          <w:b/>
          <w:bCs/>
          <w:color w:val="auto"/>
          <w:kern w:val="2"/>
          <w:sz w:val="24"/>
          <w:szCs w:val="24"/>
          <w:lang w:val="en-US" w:eastAsia="zh-CN" w:bidi="ar-SA"/>
        </w:rPr>
        <w:t>14</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26E0D49"/>
    <w:rsid w:val="031713E0"/>
    <w:rsid w:val="031E5B85"/>
    <w:rsid w:val="032558AB"/>
    <w:rsid w:val="033779AE"/>
    <w:rsid w:val="03787B69"/>
    <w:rsid w:val="03895AA0"/>
    <w:rsid w:val="04922339"/>
    <w:rsid w:val="05C328E7"/>
    <w:rsid w:val="05DC228D"/>
    <w:rsid w:val="05FF6A0E"/>
    <w:rsid w:val="060C4A98"/>
    <w:rsid w:val="06157824"/>
    <w:rsid w:val="06424590"/>
    <w:rsid w:val="06894973"/>
    <w:rsid w:val="06A8306B"/>
    <w:rsid w:val="06C9653E"/>
    <w:rsid w:val="080C71B4"/>
    <w:rsid w:val="0869623A"/>
    <w:rsid w:val="08B86BF8"/>
    <w:rsid w:val="08CD5DC8"/>
    <w:rsid w:val="090F55D9"/>
    <w:rsid w:val="09C47E9B"/>
    <w:rsid w:val="0A044FB6"/>
    <w:rsid w:val="0A4F0835"/>
    <w:rsid w:val="0A611B1E"/>
    <w:rsid w:val="0A6838A3"/>
    <w:rsid w:val="0A8A0DEC"/>
    <w:rsid w:val="0AFF3525"/>
    <w:rsid w:val="0B0643BC"/>
    <w:rsid w:val="0B2D79F3"/>
    <w:rsid w:val="0BEC4461"/>
    <w:rsid w:val="0C9E08CB"/>
    <w:rsid w:val="0CAD4977"/>
    <w:rsid w:val="0D6E60A1"/>
    <w:rsid w:val="0D9A4A13"/>
    <w:rsid w:val="0F010B87"/>
    <w:rsid w:val="0F2521BC"/>
    <w:rsid w:val="0F5F081A"/>
    <w:rsid w:val="10053432"/>
    <w:rsid w:val="102A66A9"/>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105F47"/>
    <w:rsid w:val="16F53EA8"/>
    <w:rsid w:val="16F60F71"/>
    <w:rsid w:val="17765C17"/>
    <w:rsid w:val="17CE60BA"/>
    <w:rsid w:val="17D47670"/>
    <w:rsid w:val="19594B59"/>
    <w:rsid w:val="19642DC0"/>
    <w:rsid w:val="1996317F"/>
    <w:rsid w:val="19B763C8"/>
    <w:rsid w:val="1AE84B1D"/>
    <w:rsid w:val="1B07755E"/>
    <w:rsid w:val="1B476717"/>
    <w:rsid w:val="1B9A360D"/>
    <w:rsid w:val="1BC40536"/>
    <w:rsid w:val="1BDB1132"/>
    <w:rsid w:val="1C9E4741"/>
    <w:rsid w:val="1D1A28C3"/>
    <w:rsid w:val="1E2527AC"/>
    <w:rsid w:val="1E6606D1"/>
    <w:rsid w:val="1EBC5A5B"/>
    <w:rsid w:val="1F114ADE"/>
    <w:rsid w:val="1F275F95"/>
    <w:rsid w:val="1F497C89"/>
    <w:rsid w:val="1F767F4B"/>
    <w:rsid w:val="1F980D5B"/>
    <w:rsid w:val="1FA53BA4"/>
    <w:rsid w:val="1FB64BEF"/>
    <w:rsid w:val="1FE04C1E"/>
    <w:rsid w:val="200729BF"/>
    <w:rsid w:val="20607ACB"/>
    <w:rsid w:val="209D0D1F"/>
    <w:rsid w:val="20A248B9"/>
    <w:rsid w:val="20F07544"/>
    <w:rsid w:val="21475E11"/>
    <w:rsid w:val="21655669"/>
    <w:rsid w:val="217F0425"/>
    <w:rsid w:val="21D73DBD"/>
    <w:rsid w:val="21FE759C"/>
    <w:rsid w:val="22D622C7"/>
    <w:rsid w:val="22FF46FD"/>
    <w:rsid w:val="23E91323"/>
    <w:rsid w:val="252C4420"/>
    <w:rsid w:val="25575222"/>
    <w:rsid w:val="26054E2E"/>
    <w:rsid w:val="261134F9"/>
    <w:rsid w:val="26324060"/>
    <w:rsid w:val="264E03C6"/>
    <w:rsid w:val="26CE113B"/>
    <w:rsid w:val="276854B7"/>
    <w:rsid w:val="285F68BA"/>
    <w:rsid w:val="287D03CF"/>
    <w:rsid w:val="2892534E"/>
    <w:rsid w:val="2898565F"/>
    <w:rsid w:val="29B46415"/>
    <w:rsid w:val="2A5323BB"/>
    <w:rsid w:val="2A620CCA"/>
    <w:rsid w:val="2A92112B"/>
    <w:rsid w:val="2B362C3B"/>
    <w:rsid w:val="2B416155"/>
    <w:rsid w:val="2B613280"/>
    <w:rsid w:val="2BA34C70"/>
    <w:rsid w:val="2C7B60D8"/>
    <w:rsid w:val="2CF72479"/>
    <w:rsid w:val="2D2C1294"/>
    <w:rsid w:val="2D9E1C33"/>
    <w:rsid w:val="2DA04B7C"/>
    <w:rsid w:val="2E065E02"/>
    <w:rsid w:val="2E3B6E31"/>
    <w:rsid w:val="2E606381"/>
    <w:rsid w:val="2E7B3D22"/>
    <w:rsid w:val="2EC16732"/>
    <w:rsid w:val="2EFB5E58"/>
    <w:rsid w:val="2F4B28BF"/>
    <w:rsid w:val="2FC36797"/>
    <w:rsid w:val="2FDC4776"/>
    <w:rsid w:val="30421686"/>
    <w:rsid w:val="308C6879"/>
    <w:rsid w:val="30BE17B3"/>
    <w:rsid w:val="32D05605"/>
    <w:rsid w:val="32E0127A"/>
    <w:rsid w:val="337E22EA"/>
    <w:rsid w:val="339A10EE"/>
    <w:rsid w:val="33E252B2"/>
    <w:rsid w:val="346D73B8"/>
    <w:rsid w:val="34B76208"/>
    <w:rsid w:val="355D45F6"/>
    <w:rsid w:val="355E6EF4"/>
    <w:rsid w:val="35763E42"/>
    <w:rsid w:val="3664694B"/>
    <w:rsid w:val="36743E79"/>
    <w:rsid w:val="36B96138"/>
    <w:rsid w:val="36D3294D"/>
    <w:rsid w:val="36EB7037"/>
    <w:rsid w:val="37757563"/>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0E85247"/>
    <w:rsid w:val="41BD2F8C"/>
    <w:rsid w:val="4209276A"/>
    <w:rsid w:val="425F3C2F"/>
    <w:rsid w:val="42904AAE"/>
    <w:rsid w:val="42B55273"/>
    <w:rsid w:val="43095D37"/>
    <w:rsid w:val="432D2FB8"/>
    <w:rsid w:val="4333000A"/>
    <w:rsid w:val="43543068"/>
    <w:rsid w:val="44DD642E"/>
    <w:rsid w:val="44EC5230"/>
    <w:rsid w:val="45873703"/>
    <w:rsid w:val="463C2A54"/>
    <w:rsid w:val="464A3491"/>
    <w:rsid w:val="46C94F06"/>
    <w:rsid w:val="47124390"/>
    <w:rsid w:val="477B1FC1"/>
    <w:rsid w:val="47DE1718"/>
    <w:rsid w:val="498922CE"/>
    <w:rsid w:val="49FD0845"/>
    <w:rsid w:val="4A813F97"/>
    <w:rsid w:val="4AFA7526"/>
    <w:rsid w:val="4BB625B4"/>
    <w:rsid w:val="4BCC6B77"/>
    <w:rsid w:val="4C2F5207"/>
    <w:rsid w:val="4C327CBE"/>
    <w:rsid w:val="4C5D7429"/>
    <w:rsid w:val="4C8F2F63"/>
    <w:rsid w:val="4C920C60"/>
    <w:rsid w:val="4CC06A43"/>
    <w:rsid w:val="4CFC63EC"/>
    <w:rsid w:val="4D2447BE"/>
    <w:rsid w:val="4E397509"/>
    <w:rsid w:val="4E9F49D3"/>
    <w:rsid w:val="4EA01217"/>
    <w:rsid w:val="4EFC7C45"/>
    <w:rsid w:val="4F35739C"/>
    <w:rsid w:val="4F491B27"/>
    <w:rsid w:val="4F910B98"/>
    <w:rsid w:val="4FBA6A23"/>
    <w:rsid w:val="50163C6A"/>
    <w:rsid w:val="504C446E"/>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5FF50B5"/>
    <w:rsid w:val="567C174B"/>
    <w:rsid w:val="570E6DB7"/>
    <w:rsid w:val="57294CE6"/>
    <w:rsid w:val="57714D3B"/>
    <w:rsid w:val="57AD2BD4"/>
    <w:rsid w:val="57C417B3"/>
    <w:rsid w:val="588A41F7"/>
    <w:rsid w:val="58AD0256"/>
    <w:rsid w:val="58BC051F"/>
    <w:rsid w:val="58C506B2"/>
    <w:rsid w:val="59022082"/>
    <w:rsid w:val="593A0EEA"/>
    <w:rsid w:val="593E548E"/>
    <w:rsid w:val="59BD4B1E"/>
    <w:rsid w:val="59BE2633"/>
    <w:rsid w:val="5A0D7886"/>
    <w:rsid w:val="5B456234"/>
    <w:rsid w:val="5BF40D7F"/>
    <w:rsid w:val="5C0F3166"/>
    <w:rsid w:val="5C212534"/>
    <w:rsid w:val="5CCA2E60"/>
    <w:rsid w:val="5DDB6767"/>
    <w:rsid w:val="5E455327"/>
    <w:rsid w:val="5EAD4DFB"/>
    <w:rsid w:val="5FE432E2"/>
    <w:rsid w:val="5FEE12AD"/>
    <w:rsid w:val="600A183A"/>
    <w:rsid w:val="600D4872"/>
    <w:rsid w:val="60D04B86"/>
    <w:rsid w:val="60D55C14"/>
    <w:rsid w:val="60FF065F"/>
    <w:rsid w:val="615F033C"/>
    <w:rsid w:val="61665FE8"/>
    <w:rsid w:val="61867D84"/>
    <w:rsid w:val="61EB13C1"/>
    <w:rsid w:val="621526C4"/>
    <w:rsid w:val="624125B1"/>
    <w:rsid w:val="631D5D54"/>
    <w:rsid w:val="63372B78"/>
    <w:rsid w:val="63954224"/>
    <w:rsid w:val="63BD2610"/>
    <w:rsid w:val="63E43657"/>
    <w:rsid w:val="63F139F4"/>
    <w:rsid w:val="64140B31"/>
    <w:rsid w:val="645857B2"/>
    <w:rsid w:val="64A76966"/>
    <w:rsid w:val="64E41A84"/>
    <w:rsid w:val="64FF302C"/>
    <w:rsid w:val="654451BF"/>
    <w:rsid w:val="65CD2ADA"/>
    <w:rsid w:val="66361340"/>
    <w:rsid w:val="66775637"/>
    <w:rsid w:val="6692162D"/>
    <w:rsid w:val="66F37636"/>
    <w:rsid w:val="670A426C"/>
    <w:rsid w:val="67443D5C"/>
    <w:rsid w:val="689F673B"/>
    <w:rsid w:val="68C926A3"/>
    <w:rsid w:val="69465AD2"/>
    <w:rsid w:val="69611BE9"/>
    <w:rsid w:val="6ADB1E90"/>
    <w:rsid w:val="6B466C79"/>
    <w:rsid w:val="6B96571C"/>
    <w:rsid w:val="6C183322"/>
    <w:rsid w:val="6C2D05E5"/>
    <w:rsid w:val="6C8F043D"/>
    <w:rsid w:val="6C9E6DBD"/>
    <w:rsid w:val="6CAB20ED"/>
    <w:rsid w:val="6D07312B"/>
    <w:rsid w:val="6D61711B"/>
    <w:rsid w:val="6D837F22"/>
    <w:rsid w:val="6DD514EF"/>
    <w:rsid w:val="6E48658E"/>
    <w:rsid w:val="6EF93177"/>
    <w:rsid w:val="6F1E5FAD"/>
    <w:rsid w:val="6F4D508F"/>
    <w:rsid w:val="6F7D2EAC"/>
    <w:rsid w:val="702C2621"/>
    <w:rsid w:val="70365780"/>
    <w:rsid w:val="70904FD7"/>
    <w:rsid w:val="70AE2C81"/>
    <w:rsid w:val="70F84783"/>
    <w:rsid w:val="71040869"/>
    <w:rsid w:val="71821C71"/>
    <w:rsid w:val="728272C5"/>
    <w:rsid w:val="72E50494"/>
    <w:rsid w:val="72E66380"/>
    <w:rsid w:val="72F01B21"/>
    <w:rsid w:val="73003007"/>
    <w:rsid w:val="73300A89"/>
    <w:rsid w:val="734F0943"/>
    <w:rsid w:val="73781BAB"/>
    <w:rsid w:val="737C6E6A"/>
    <w:rsid w:val="741D5387"/>
    <w:rsid w:val="74EB663F"/>
    <w:rsid w:val="75E24F72"/>
    <w:rsid w:val="770B11F1"/>
    <w:rsid w:val="7733241D"/>
    <w:rsid w:val="774A4FDD"/>
    <w:rsid w:val="775A7F45"/>
    <w:rsid w:val="77F20C9D"/>
    <w:rsid w:val="78393FFF"/>
    <w:rsid w:val="788201F0"/>
    <w:rsid w:val="78C902B9"/>
    <w:rsid w:val="78D45AD6"/>
    <w:rsid w:val="79053354"/>
    <w:rsid w:val="7956473D"/>
    <w:rsid w:val="795A0303"/>
    <w:rsid w:val="795E2818"/>
    <w:rsid w:val="799331F3"/>
    <w:rsid w:val="7A005AB3"/>
    <w:rsid w:val="7AAF58BC"/>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3">
    <w:name w:val="文本"/>
    <w:basedOn w:val="1"/>
    <w:next w:val="1"/>
    <w:qFormat/>
    <w:uiPriority w:val="0"/>
    <w:pPr>
      <w:autoSpaceDE w:val="0"/>
      <w:autoSpaceDN w:val="0"/>
      <w:ind w:firstLine="480"/>
    </w:pPr>
    <w:rPr>
      <w:szCs w:val="24"/>
      <w:lang w:val="zh-CN"/>
    </w:rPr>
  </w:style>
  <w:style w:type="paragraph" w:styleId="4">
    <w:name w:val="footer"/>
    <w:basedOn w:val="1"/>
    <w:link w:val="31"/>
    <w:qFormat/>
    <w:uiPriority w:val="99"/>
    <w:pPr>
      <w:tabs>
        <w:tab w:val="center" w:pos="4153"/>
        <w:tab w:val="right" w:pos="8306"/>
      </w:tabs>
      <w:snapToGrid w:val="0"/>
      <w:jc w:val="left"/>
    </w:pPr>
    <w:rPr>
      <w:sz w:val="18"/>
      <w:szCs w:val="18"/>
    </w:rPr>
  </w:style>
  <w:style w:type="paragraph" w:styleId="5">
    <w:name w:val="Document Map"/>
    <w:basedOn w:val="1"/>
    <w:link w:val="32"/>
    <w:unhideWhenUsed/>
    <w:qFormat/>
    <w:uiPriority w:val="99"/>
    <w:rPr>
      <w:rFonts w:ascii="宋体"/>
      <w:sz w:val="18"/>
      <w:szCs w:val="18"/>
    </w:rPr>
  </w:style>
  <w:style w:type="paragraph" w:styleId="6">
    <w:name w:val="Body Text"/>
    <w:basedOn w:val="1"/>
    <w:next w:val="7"/>
    <w:link w:val="28"/>
    <w:qFormat/>
    <w:uiPriority w:val="99"/>
    <w:rPr>
      <w:sz w:val="24"/>
      <w:szCs w:val="24"/>
    </w:rPr>
  </w:style>
  <w:style w:type="paragraph" w:customStyle="1" w:styleId="7">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8">
    <w:name w:val="Body Text Indent"/>
    <w:basedOn w:val="1"/>
    <w:next w:val="9"/>
    <w:qFormat/>
    <w:uiPriority w:val="99"/>
  </w:style>
  <w:style w:type="paragraph" w:styleId="9">
    <w:name w:val="Body Text Indent 2"/>
    <w:basedOn w:val="1"/>
    <w:next w:val="10"/>
    <w:qFormat/>
    <w:uiPriority w:val="0"/>
    <w:pPr>
      <w:spacing w:line="500" w:lineRule="exact"/>
      <w:ind w:firstLine="573"/>
    </w:pPr>
    <w:rPr>
      <w:sz w:val="28"/>
    </w:rPr>
  </w:style>
  <w:style w:type="paragraph" w:styleId="10">
    <w:name w:val="Body Text First Indent 2"/>
    <w:basedOn w:val="8"/>
    <w:next w:val="1"/>
    <w:qFormat/>
    <w:uiPriority w:val="0"/>
    <w:pPr>
      <w:ind w:firstLine="420"/>
    </w:pPr>
  </w:style>
  <w:style w:type="paragraph" w:styleId="11">
    <w:name w:val="Date"/>
    <w:basedOn w:val="1"/>
    <w:next w:val="1"/>
    <w:link w:val="33"/>
    <w:unhideWhenUsed/>
    <w:qFormat/>
    <w:uiPriority w:val="99"/>
    <w:pPr>
      <w:ind w:left="100" w:leftChars="2500"/>
    </w:pPr>
  </w:style>
  <w:style w:type="paragraph" w:styleId="12">
    <w:name w:val="Balloon Text"/>
    <w:basedOn w:val="1"/>
    <w:link w:val="29"/>
    <w:semiHidden/>
    <w:qFormat/>
    <w:uiPriority w:val="99"/>
    <w:rPr>
      <w:sz w:val="18"/>
      <w:szCs w:val="18"/>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6">
    <w:name w:val="Table Grid"/>
    <w:basedOn w:val="1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99"/>
    <w:rPr>
      <w:b/>
      <w:bCs/>
    </w:rPr>
  </w:style>
  <w:style w:type="character" w:styleId="19">
    <w:name w:val="page number"/>
    <w:basedOn w:val="17"/>
    <w:qFormat/>
    <w:uiPriority w:val="99"/>
  </w:style>
  <w:style w:type="character" w:styleId="20">
    <w:name w:val="Hyperlink"/>
    <w:basedOn w:val="17"/>
    <w:qFormat/>
    <w:uiPriority w:val="99"/>
    <w:rPr>
      <w:color w:val="0000FF"/>
      <w:u w:val="single"/>
    </w:rPr>
  </w:style>
  <w:style w:type="character" w:styleId="21">
    <w:name w:val="annotation reference"/>
    <w:basedOn w:val="17"/>
    <w:qFormat/>
    <w:uiPriority w:val="0"/>
    <w:rPr>
      <w:sz w:val="21"/>
      <w:szCs w:val="21"/>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1"/>
    <w:qFormat/>
    <w:uiPriority w:val="0"/>
    <w:pPr>
      <w:adjustRightInd w:val="0"/>
      <w:spacing w:line="312" w:lineRule="auto"/>
      <w:ind w:firstLine="567"/>
    </w:pPr>
    <w:rPr>
      <w:rFonts w:ascii="宋体"/>
      <w:kern w:val="0"/>
      <w:sz w:val="28"/>
    </w:rPr>
  </w:style>
  <w:style w:type="paragraph" w:customStyle="1" w:styleId="24">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5">
    <w:name w:val="正文01"/>
    <w:basedOn w:val="1"/>
    <w:qFormat/>
    <w:uiPriority w:val="99"/>
    <w:pPr>
      <w:spacing w:before="60" w:line="460" w:lineRule="exact"/>
      <w:ind w:firstLine="200" w:firstLineChars="200"/>
    </w:pPr>
    <w:rPr>
      <w:sz w:val="24"/>
      <w:szCs w:val="24"/>
    </w:rPr>
  </w:style>
  <w:style w:type="paragraph" w:customStyle="1" w:styleId="26">
    <w:name w:val="普通(网站)1"/>
    <w:basedOn w:val="1"/>
    <w:qFormat/>
    <w:uiPriority w:val="0"/>
    <w:pPr>
      <w:spacing w:beforeAutospacing="1" w:afterAutospacing="1"/>
    </w:pPr>
    <w:rPr>
      <w:rFonts w:ascii="宋体" w:hAnsi="宋体" w:cs="宋体"/>
      <w:sz w:val="24"/>
      <w:szCs w:val="24"/>
    </w:rPr>
  </w:style>
  <w:style w:type="paragraph" w:customStyle="1" w:styleId="27">
    <w:name w:val="p0"/>
    <w:qFormat/>
    <w:uiPriority w:val="0"/>
    <w:rPr>
      <w:rFonts w:ascii="Times New Roman" w:hAnsi="Times New Roman" w:eastAsia="宋体" w:cs="Times New Roman"/>
      <w:szCs w:val="21"/>
      <w:lang w:val="en-US" w:eastAsia="zh-CN" w:bidi="ar-SA"/>
    </w:rPr>
  </w:style>
  <w:style w:type="character" w:customStyle="1" w:styleId="28">
    <w:name w:val="正文文本 Char"/>
    <w:basedOn w:val="17"/>
    <w:link w:val="6"/>
    <w:semiHidden/>
    <w:qFormat/>
    <w:locked/>
    <w:uiPriority w:val="99"/>
    <w:rPr>
      <w:rFonts w:ascii="Calibri" w:hAnsi="Calibri" w:cs="Calibri"/>
      <w:sz w:val="21"/>
      <w:szCs w:val="21"/>
    </w:rPr>
  </w:style>
  <w:style w:type="character" w:customStyle="1" w:styleId="29">
    <w:name w:val="批注框文本 Char"/>
    <w:basedOn w:val="17"/>
    <w:link w:val="12"/>
    <w:semiHidden/>
    <w:qFormat/>
    <w:locked/>
    <w:uiPriority w:val="99"/>
    <w:rPr>
      <w:sz w:val="18"/>
      <w:szCs w:val="18"/>
    </w:rPr>
  </w:style>
  <w:style w:type="character" w:customStyle="1" w:styleId="30">
    <w:name w:val="页眉 Char"/>
    <w:basedOn w:val="17"/>
    <w:link w:val="13"/>
    <w:qFormat/>
    <w:locked/>
    <w:uiPriority w:val="99"/>
    <w:rPr>
      <w:rFonts w:ascii="Calibri" w:hAnsi="Calibri" w:cs="Calibri"/>
      <w:kern w:val="2"/>
      <w:sz w:val="18"/>
      <w:szCs w:val="18"/>
    </w:rPr>
  </w:style>
  <w:style w:type="character" w:customStyle="1" w:styleId="31">
    <w:name w:val="页脚 Char"/>
    <w:basedOn w:val="17"/>
    <w:link w:val="4"/>
    <w:qFormat/>
    <w:locked/>
    <w:uiPriority w:val="99"/>
    <w:rPr>
      <w:rFonts w:ascii="Calibri" w:hAnsi="Calibri" w:cs="Calibri"/>
      <w:kern w:val="2"/>
      <w:sz w:val="18"/>
      <w:szCs w:val="18"/>
    </w:rPr>
  </w:style>
  <w:style w:type="character" w:customStyle="1" w:styleId="32">
    <w:name w:val="文档结构图 Char"/>
    <w:basedOn w:val="17"/>
    <w:link w:val="5"/>
    <w:semiHidden/>
    <w:qFormat/>
    <w:uiPriority w:val="99"/>
    <w:rPr>
      <w:rFonts w:ascii="宋体" w:hAnsi="Calibri" w:cs="Calibri"/>
      <w:kern w:val="2"/>
      <w:sz w:val="18"/>
      <w:szCs w:val="18"/>
    </w:rPr>
  </w:style>
  <w:style w:type="character" w:customStyle="1" w:styleId="33">
    <w:name w:val="日期 Char"/>
    <w:basedOn w:val="17"/>
    <w:link w:val="11"/>
    <w:semiHidden/>
    <w:qFormat/>
    <w:uiPriority w:val="99"/>
    <w:rPr>
      <w:rFonts w:ascii="Calibri" w:hAnsi="Calibri" w:cs="Calibri"/>
      <w:kern w:val="2"/>
      <w:sz w:val="21"/>
      <w:szCs w:val="21"/>
    </w:rPr>
  </w:style>
  <w:style w:type="paragraph" w:styleId="34">
    <w:name w:val="List Paragraph"/>
    <w:basedOn w:val="1"/>
    <w:unhideWhenUsed/>
    <w:qFormat/>
    <w:uiPriority w:val="99"/>
    <w:pPr>
      <w:ind w:firstLine="420" w:firstLineChars="200"/>
    </w:pPr>
  </w:style>
  <w:style w:type="paragraph" w:customStyle="1" w:styleId="35">
    <w:name w:val="报告表正文"/>
    <w:basedOn w:val="1"/>
    <w:qFormat/>
    <w:uiPriority w:val="99"/>
    <w:pPr>
      <w:spacing w:line="360" w:lineRule="auto"/>
      <w:ind w:firstLine="200"/>
    </w:pPr>
    <w:rPr>
      <w:szCs w:val="20"/>
      <w:lang w:val="zh-CN"/>
    </w:rPr>
  </w:style>
  <w:style w:type="paragraph" w:customStyle="1" w:styleId="3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7">
    <w:name w:val="fontstyle01"/>
    <w:basedOn w:val="17"/>
    <w:qFormat/>
    <w:uiPriority w:val="0"/>
    <w:rPr>
      <w:rFonts w:hint="eastAsia" w:ascii="宋体" w:hAnsi="宋体" w:eastAsia="宋体"/>
      <w:color w:val="000000"/>
      <w:sz w:val="24"/>
      <w:szCs w:val="24"/>
    </w:rPr>
  </w:style>
  <w:style w:type="paragraph" w:customStyle="1" w:styleId="38">
    <w:name w:val="样式3"/>
    <w:basedOn w:val="1"/>
    <w:qFormat/>
    <w:uiPriority w:val="0"/>
    <w:pPr>
      <w:widowControl/>
      <w:spacing w:line="360" w:lineRule="auto"/>
      <w:ind w:firstLine="480" w:firstLineChars="200"/>
      <w:jc w:val="left"/>
    </w:pPr>
    <w:rPr>
      <w:kern w:val="0"/>
      <w:sz w:val="24"/>
    </w:rPr>
  </w:style>
  <w:style w:type="paragraph" w:customStyle="1" w:styleId="39">
    <w:name w:val="Table Paragraph"/>
    <w:basedOn w:val="1"/>
    <w:qFormat/>
    <w:uiPriority w:val="1"/>
    <w:pPr>
      <w:jc w:val="center"/>
    </w:pPr>
    <w:rPr>
      <w:rFonts w:ascii="宋体" w:hAnsi="宋体" w:eastAsia="宋体" w:cs="宋体"/>
      <w:lang w:val="zh-CN" w:eastAsia="zh-CN" w:bidi="zh-CN"/>
    </w:rPr>
  </w:style>
  <w:style w:type="paragraph" w:customStyle="1" w:styleId="40">
    <w:name w:val="Default1"/>
    <w:basedOn w:val="41"/>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41">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42">
    <w:name w:val="样式 样式 Arial 四号1 + 首行缩进:  2 字符"/>
    <w:qFormat/>
    <w:uiPriority w:val="99"/>
    <w:pPr>
      <w:ind w:firstLine="566" w:firstLineChars="236"/>
    </w:pPr>
    <w:rPr>
      <w:rFonts w:ascii="宋体" w:hAnsi="宋体" w:eastAsia="宋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1255</Words>
  <Characters>1357</Characters>
  <Lines>10</Lines>
  <Paragraphs>2</Paragraphs>
  <TotalTime>0</TotalTime>
  <ScaleCrop>false</ScaleCrop>
  <LinksUpToDate>false</LinksUpToDate>
  <CharactersWithSpaces>1366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2022-12-09T08:05:00Z</cp:lastPrinted>
  <dcterms:modified xsi:type="dcterms:W3CDTF">2023-01-31T08:01:17Z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5F4824CAEB8241FBB081B33254EFB6C6</vt:lpwstr>
  </property>
</Properties>
</file>