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40"/>
          <w:szCs w:val="40"/>
          <w:lang w:eastAsia="zh-CN"/>
        </w:rPr>
      </w:pPr>
      <w:r>
        <w:rPr>
          <w:rFonts w:hint="eastAsia" w:ascii="Times New Roman" w:hAnsi="Times New Roman" w:eastAsia="宋体" w:cs="Times New Roman"/>
          <w:b/>
          <w:sz w:val="40"/>
          <w:szCs w:val="40"/>
          <w:lang w:eastAsia="zh-CN"/>
        </w:rPr>
        <w:t>赫威环境科技（安徽）有限公司</w:t>
      </w:r>
    </w:p>
    <w:p>
      <w:pPr>
        <w:spacing w:line="360" w:lineRule="auto"/>
        <w:jc w:val="center"/>
        <w:rPr>
          <w:rFonts w:hint="eastAsia" w:ascii="Times New Roman" w:hAnsi="Times New Roman" w:eastAsia="宋体" w:cs="Times New Roman"/>
          <w:b/>
          <w:sz w:val="40"/>
          <w:szCs w:val="40"/>
          <w:lang w:val="en-US" w:eastAsia="zh-CN"/>
        </w:rPr>
      </w:pPr>
      <w:bookmarkStart w:id="0" w:name="_GoBack"/>
      <w:bookmarkEnd w:id="0"/>
      <w:r>
        <w:rPr>
          <w:rFonts w:hint="eastAsia" w:ascii="Times New Roman" w:hAnsi="Times New Roman" w:eastAsia="宋体" w:cs="Times New Roman"/>
          <w:b/>
          <w:sz w:val="40"/>
          <w:szCs w:val="40"/>
          <w:lang w:eastAsia="zh-CN"/>
        </w:rPr>
        <w:t>赫威辐射冷暖管路生产项目（阶段性）</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11</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12</w:t>
      </w:r>
      <w:r>
        <w:rPr>
          <w:rFonts w:hint="default" w:ascii="Times New Roman" w:hAnsi="Times New Roman" w:cs="Times New Roman"/>
          <w:bCs/>
          <w:color w:val="auto"/>
          <w:sz w:val="24"/>
          <w:lang w:eastAsia="zh-CN"/>
        </w:rPr>
        <w:t>日，</w:t>
      </w:r>
      <w:r>
        <w:rPr>
          <w:rFonts w:hint="eastAsia"/>
          <w:sz w:val="24"/>
          <w:lang w:eastAsia="zh-CN"/>
        </w:rPr>
        <w:t>赫威环境科技（安徽）有限公司</w:t>
      </w:r>
      <w:r>
        <w:rPr>
          <w:rFonts w:hint="eastAsia" w:ascii="Times New Roman" w:hAnsi="Times New Roman" w:cs="Times New Roman"/>
          <w:bCs/>
          <w:sz w:val="24"/>
          <w:lang w:eastAsia="zh-CN"/>
        </w:rPr>
        <w:t>组织召开了</w:t>
      </w:r>
      <w:r>
        <w:rPr>
          <w:rFonts w:hint="eastAsia"/>
          <w:sz w:val="24"/>
          <w:lang w:eastAsia="zh-CN"/>
        </w:rPr>
        <w:t>赫威辐射冷暖管路生产项</w:t>
      </w:r>
      <w:r>
        <w:rPr>
          <w:rFonts w:hint="eastAsia" w:ascii="Times New Roman" w:hAnsi="Times New Roman" w:eastAsia="宋体" w:cs="Times New Roman"/>
          <w:sz w:val="24"/>
          <w:lang w:eastAsia="zh-CN"/>
        </w:rPr>
        <w:t>目（阶段性）</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会议，参加会议的有安徽泓维环境科技有限公司、安徽川达检测科技有限公司及邀请的</w:t>
      </w:r>
      <w:r>
        <w:rPr>
          <w:rFonts w:hint="eastAsia" w:ascii="Times New Roman" w:hAnsi="Times New Roman" w:cs="Times New Roman"/>
          <w:bCs/>
          <w:sz w:val="24"/>
          <w:lang w:val="en-US" w:eastAsia="zh-CN"/>
        </w:rPr>
        <w:t>2位专家，与会者踏勘了项目现场，听取了建设单位关于项目建设情况的报告和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pStyle w:val="2"/>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b w:val="0"/>
          <w:bCs/>
          <w:color w:val="000000"/>
          <w:sz w:val="24"/>
          <w:szCs w:val="24"/>
        </w:rPr>
      </w:pPr>
      <w:r>
        <w:rPr>
          <w:rFonts w:hint="eastAsia" w:ascii="Times New Roman" w:hAnsi="Times New Roman" w:eastAsia="宋体" w:cs="Times New Roman"/>
          <w:b w:val="0"/>
          <w:bCs/>
          <w:color w:val="000000"/>
          <w:sz w:val="24"/>
          <w:szCs w:val="24"/>
          <w:lang w:eastAsia="zh-CN"/>
        </w:rPr>
        <w:t>建设地点</w:t>
      </w:r>
      <w:r>
        <w:rPr>
          <w:rFonts w:hint="default" w:ascii="Times New Roman" w:hAnsi="Times New Roman" w:eastAsia="宋体" w:cs="Times New Roman"/>
          <w:b w:val="0"/>
          <w:bCs/>
          <w:color w:val="000000"/>
          <w:sz w:val="24"/>
          <w:szCs w:val="24"/>
          <w:lang w:eastAsia="zh-CN"/>
        </w:rPr>
        <w:t>位于</w:t>
      </w:r>
      <w:r>
        <w:rPr>
          <w:rFonts w:hint="eastAsia" w:ascii="Times New Roman" w:hAnsi="Times New Roman" w:eastAsia="宋体" w:cs="Times New Roman"/>
          <w:b w:val="0"/>
          <w:bCs/>
          <w:color w:val="000000"/>
          <w:sz w:val="24"/>
          <w:szCs w:val="24"/>
          <w:lang w:eastAsia="zh-CN"/>
        </w:rPr>
        <w:t>安徽省六安市裕安区高新技术产业开发区宝中路以西、红旗路以北</w:t>
      </w:r>
      <w:r>
        <w:rPr>
          <w:rFonts w:hint="default" w:ascii="Times New Roman" w:hAnsi="Times New Roman" w:eastAsia="宋体" w:cs="Times New Roman"/>
          <w:b w:val="0"/>
          <w:bCs/>
          <w:color w:val="000000"/>
          <w:sz w:val="24"/>
          <w:szCs w:val="24"/>
          <w:lang w:eastAsia="zh-CN"/>
        </w:rPr>
        <w:t>，</w:t>
      </w:r>
      <w:r>
        <w:rPr>
          <w:rFonts w:hint="eastAsia" w:ascii="Times New Roman" w:hAnsi="Times New Roman" w:eastAsia="宋体" w:cs="Times New Roman"/>
          <w:b w:val="0"/>
          <w:bCs/>
          <w:color w:val="000000"/>
          <w:sz w:val="24"/>
          <w:szCs w:val="24"/>
          <w:lang w:val="en-US" w:eastAsia="zh-CN"/>
        </w:rPr>
        <w:t>租赁</w:t>
      </w:r>
      <w:r>
        <w:rPr>
          <w:rFonts w:hint="eastAsia" w:ascii="Times New Roman" w:hAnsi="Times New Roman" w:eastAsia="宋体" w:cs="Times New Roman"/>
          <w:b w:val="0"/>
          <w:bCs/>
          <w:color w:val="000000"/>
          <w:sz w:val="24"/>
          <w:szCs w:val="24"/>
          <w:lang w:eastAsia="zh-CN"/>
        </w:rPr>
        <w:t>六安高新技术产业开发区管委会原佑逸管业二期</w:t>
      </w:r>
      <w:r>
        <w:rPr>
          <w:rFonts w:hint="eastAsia" w:ascii="Times New Roman" w:hAnsi="Times New Roman" w:eastAsia="宋体" w:cs="Times New Roman"/>
          <w:b w:val="0"/>
          <w:bCs/>
          <w:color w:val="000000"/>
          <w:sz w:val="24"/>
          <w:szCs w:val="24"/>
          <w:lang w:val="en-US" w:eastAsia="zh-CN"/>
        </w:rPr>
        <w:t>1#车间和宿舍楼，总建筑面积为16435m</w:t>
      </w:r>
      <w:r>
        <w:rPr>
          <w:rFonts w:hint="eastAsia" w:ascii="Times New Roman" w:hAnsi="Times New Roman" w:eastAsia="宋体" w:cs="Times New Roman"/>
          <w:b w:val="0"/>
          <w:bCs/>
          <w:color w:val="000000"/>
          <w:sz w:val="24"/>
          <w:szCs w:val="24"/>
          <w:vertAlign w:val="superscript"/>
          <w:lang w:val="en-US" w:eastAsia="zh-CN"/>
        </w:rPr>
        <w:t>2</w:t>
      </w:r>
      <w:r>
        <w:rPr>
          <w:rFonts w:hint="eastAsia" w:ascii="Times New Roman" w:hAnsi="Times New Roman" w:eastAsia="宋体" w:cs="Times New Roman"/>
          <w:b w:val="0"/>
          <w:bCs/>
          <w:color w:val="000000"/>
          <w:sz w:val="24"/>
          <w:szCs w:val="24"/>
          <w:lang w:val="en-US" w:eastAsia="zh-CN"/>
        </w:rPr>
        <w:t>。</w:t>
      </w:r>
      <w:r>
        <w:rPr>
          <w:rFonts w:hint="default" w:ascii="Times New Roman" w:hAnsi="Times New Roman" w:eastAsia="宋体" w:cs="Times New Roman"/>
          <w:b w:val="0"/>
          <w:bCs/>
          <w:color w:val="000000"/>
          <w:sz w:val="24"/>
          <w:szCs w:val="24"/>
          <w:lang w:eastAsia="zh-CN"/>
        </w:rPr>
        <w:t>主要从事</w:t>
      </w:r>
      <w:r>
        <w:rPr>
          <w:rFonts w:hint="default" w:ascii="Times New Roman" w:hAnsi="Times New Roman" w:eastAsia="宋体" w:cs="Times New Roman"/>
          <w:b w:val="0"/>
          <w:bCs/>
          <w:color w:val="000000"/>
          <w:sz w:val="24"/>
          <w:szCs w:val="24"/>
          <w:lang w:val="en-US" w:eastAsia="zh-CN"/>
        </w:rPr>
        <w:t>冷暖管等生</w:t>
      </w:r>
      <w:r>
        <w:rPr>
          <w:rFonts w:hint="default" w:ascii="Times New Roman" w:hAnsi="Times New Roman" w:eastAsia="宋体" w:cs="Times New Roman"/>
          <w:b w:val="0"/>
          <w:bCs/>
          <w:color w:val="000000"/>
          <w:sz w:val="24"/>
          <w:szCs w:val="24"/>
          <w:lang w:eastAsia="zh-CN"/>
        </w:rPr>
        <w:t>产活动，</w:t>
      </w:r>
      <w:r>
        <w:rPr>
          <w:rFonts w:hint="default" w:ascii="Times New Roman" w:hAnsi="Times New Roman" w:eastAsia="宋体" w:cs="Times New Roman"/>
          <w:b w:val="0"/>
          <w:bCs/>
          <w:color w:val="000000"/>
          <w:sz w:val="24"/>
          <w:szCs w:val="24"/>
        </w:rPr>
        <w:t>总投资</w:t>
      </w:r>
      <w:r>
        <w:rPr>
          <w:rFonts w:hint="eastAsia" w:ascii="Times New Roman" w:hAnsi="Times New Roman" w:cs="Times New Roman"/>
          <w:b w:val="0"/>
          <w:bCs/>
          <w:color w:val="000000"/>
          <w:sz w:val="24"/>
          <w:szCs w:val="24"/>
          <w:lang w:val="en-US" w:eastAsia="zh-CN"/>
        </w:rPr>
        <w:t>10000</w:t>
      </w:r>
      <w:r>
        <w:rPr>
          <w:rFonts w:hint="default" w:ascii="Times New Roman" w:hAnsi="Times New Roman" w:eastAsia="宋体" w:cs="Times New Roman"/>
          <w:b w:val="0"/>
          <w:bCs/>
          <w:color w:val="000000"/>
          <w:sz w:val="24"/>
          <w:szCs w:val="24"/>
        </w:rPr>
        <w:t>万元，其中环保投资</w:t>
      </w:r>
      <w:r>
        <w:rPr>
          <w:rFonts w:hint="eastAsia" w:ascii="Times New Roman" w:hAnsi="Times New Roman" w:cs="Times New Roman"/>
          <w:b w:val="0"/>
          <w:bCs/>
          <w:color w:val="000000"/>
          <w:sz w:val="24"/>
          <w:szCs w:val="24"/>
          <w:lang w:val="en-US" w:eastAsia="zh-CN"/>
        </w:rPr>
        <w:t>42</w:t>
      </w:r>
      <w:r>
        <w:rPr>
          <w:rFonts w:hint="default" w:ascii="Times New Roman" w:hAnsi="Times New Roman" w:eastAsia="宋体" w:cs="Times New Roman"/>
          <w:b w:val="0"/>
          <w:bCs/>
          <w:color w:val="000000"/>
          <w:sz w:val="24"/>
          <w:szCs w:val="24"/>
        </w:rPr>
        <w:t>万元，占总投资的</w:t>
      </w:r>
      <w:r>
        <w:rPr>
          <w:rFonts w:hint="eastAsia" w:ascii="Times New Roman" w:hAnsi="Times New Roman" w:cs="Times New Roman"/>
          <w:b w:val="0"/>
          <w:bCs/>
          <w:color w:val="000000"/>
          <w:sz w:val="24"/>
          <w:szCs w:val="24"/>
          <w:lang w:val="en-US" w:eastAsia="zh-CN"/>
        </w:rPr>
        <w:t>0.42</w:t>
      </w:r>
      <w:r>
        <w:rPr>
          <w:rFonts w:hint="default" w:ascii="Times New Roman" w:hAnsi="Times New Roman" w:eastAsia="宋体" w:cs="Times New Roman"/>
          <w:b w:val="0"/>
          <w:bCs/>
          <w:color w:val="000000"/>
          <w:sz w:val="24"/>
          <w:szCs w:val="24"/>
        </w:rPr>
        <w:t>%。</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szCs w:val="24"/>
          <w:lang w:val="en-US" w:eastAsia="zh-CN"/>
        </w:rPr>
      </w:pPr>
      <w:r>
        <w:rPr>
          <w:rFonts w:hint="default" w:ascii="Times New Roman" w:hAnsi="Times New Roman" w:cs="Times New Roman"/>
          <w:bCs/>
          <w:color w:val="000000"/>
          <w:sz w:val="24"/>
          <w:szCs w:val="24"/>
          <w:lang w:val="en-US" w:eastAsia="zh-CN"/>
        </w:rPr>
        <w:t>20</w:t>
      </w:r>
      <w:r>
        <w:rPr>
          <w:rFonts w:hint="eastAsia" w:ascii="Times New Roman" w:hAnsi="Times New Roman" w:cs="Times New Roman"/>
          <w:bCs/>
          <w:color w:val="000000"/>
          <w:sz w:val="24"/>
          <w:szCs w:val="24"/>
          <w:lang w:val="en-US" w:eastAsia="zh-CN"/>
        </w:rPr>
        <w:t>21</w:t>
      </w:r>
      <w:r>
        <w:rPr>
          <w:rFonts w:hint="default" w:ascii="Times New Roman" w:hAnsi="Times New Roman" w:cs="Times New Roman"/>
          <w:bCs/>
          <w:color w:val="000000"/>
          <w:sz w:val="24"/>
          <w:szCs w:val="24"/>
          <w:lang w:val="en-US" w:eastAsia="zh-CN"/>
        </w:rPr>
        <w:t>年</w:t>
      </w:r>
      <w:r>
        <w:rPr>
          <w:rFonts w:hint="eastAsia" w:ascii="Times New Roman" w:hAnsi="Times New Roman" w:cs="Times New Roman"/>
          <w:bCs/>
          <w:color w:val="000000"/>
          <w:sz w:val="24"/>
          <w:szCs w:val="24"/>
          <w:lang w:val="en-US" w:eastAsia="zh-CN"/>
        </w:rPr>
        <w:t>6</w:t>
      </w:r>
      <w:r>
        <w:rPr>
          <w:rFonts w:hint="default" w:ascii="Times New Roman" w:hAnsi="Times New Roman" w:cs="Times New Roman"/>
          <w:bCs/>
          <w:sz w:val="24"/>
          <w:szCs w:val="24"/>
          <w:lang w:val="en-US" w:eastAsia="zh-CN"/>
        </w:rPr>
        <w:t>月，公司委托</w:t>
      </w:r>
      <w:r>
        <w:rPr>
          <w:rFonts w:hint="eastAsia"/>
          <w:sz w:val="24"/>
          <w:szCs w:val="24"/>
          <w:lang w:eastAsia="zh-CN"/>
        </w:rPr>
        <w:t>安徽锦环环境科技有限公司</w:t>
      </w:r>
      <w:r>
        <w:rPr>
          <w:rFonts w:hint="eastAsia"/>
          <w:sz w:val="24"/>
        </w:rPr>
        <w:t>编制《</w:t>
      </w:r>
      <w:r>
        <w:rPr>
          <w:rFonts w:hint="eastAsia"/>
          <w:sz w:val="24"/>
          <w:lang w:eastAsia="zh-CN"/>
        </w:rPr>
        <w:t>赫威辐射冷暖管路生产项</w:t>
      </w:r>
      <w:r>
        <w:rPr>
          <w:rFonts w:hint="eastAsia" w:ascii="Times New Roman" w:hAnsi="Times New Roman" w:eastAsia="宋体" w:cs="Times New Roman"/>
          <w:sz w:val="24"/>
          <w:lang w:eastAsia="zh-CN"/>
        </w:rPr>
        <w:t>目</w:t>
      </w:r>
      <w:r>
        <w:rPr>
          <w:rFonts w:hint="eastAsia"/>
          <w:sz w:val="24"/>
          <w:lang w:val="en-US" w:eastAsia="zh-CN"/>
        </w:rPr>
        <w:t>环境影响报告表</w:t>
      </w:r>
      <w:r>
        <w:rPr>
          <w:rFonts w:hint="eastAsia"/>
          <w:sz w:val="24"/>
        </w:rPr>
        <w:t>》</w:t>
      </w:r>
      <w:r>
        <w:rPr>
          <w:rFonts w:hint="default" w:ascii="Times New Roman" w:hAnsi="Times New Roman" w:cs="Times New Roman"/>
          <w:bCs/>
          <w:sz w:val="24"/>
          <w:szCs w:val="24"/>
          <w:lang w:val="en-US" w:eastAsia="zh-CN"/>
        </w:rPr>
        <w:t>，并于</w:t>
      </w:r>
      <w:r>
        <w:rPr>
          <w:rFonts w:hint="default" w:ascii="Times New Roman" w:hAnsi="Times New Roman" w:eastAsia="宋体" w:cs="Times New Roman"/>
          <w:bCs/>
          <w:sz w:val="24"/>
          <w:szCs w:val="24"/>
          <w:lang w:val="en-US" w:eastAsia="zh-CN"/>
        </w:rPr>
        <w:t>202</w:t>
      </w:r>
      <w:r>
        <w:rPr>
          <w:rFonts w:hint="eastAsia" w:ascii="Times New Roman" w:hAnsi="Times New Roman" w:cs="Times New Roman"/>
          <w:bCs/>
          <w:sz w:val="24"/>
          <w:szCs w:val="24"/>
          <w:lang w:val="en-US" w:eastAsia="zh-CN"/>
        </w:rPr>
        <w:t>1</w:t>
      </w:r>
      <w:r>
        <w:rPr>
          <w:rFonts w:hint="default" w:ascii="Times New Roman" w:hAnsi="Times New Roman" w:eastAsia="宋体" w:cs="Times New Roman"/>
          <w:bCs/>
          <w:sz w:val="24"/>
          <w:szCs w:val="24"/>
          <w:lang w:val="en-US" w:eastAsia="zh-CN"/>
        </w:rPr>
        <w:t>年</w:t>
      </w:r>
      <w:r>
        <w:rPr>
          <w:rFonts w:hint="eastAsia" w:ascii="Times New Roman" w:hAnsi="Times New Roman" w:cs="Times New Roman"/>
          <w:bCs/>
          <w:sz w:val="24"/>
          <w:szCs w:val="24"/>
          <w:lang w:val="en-US" w:eastAsia="zh-CN"/>
        </w:rPr>
        <w:t>8</w:t>
      </w:r>
      <w:r>
        <w:rPr>
          <w:rFonts w:hint="default" w:ascii="Times New Roman" w:hAnsi="Times New Roman" w:eastAsia="宋体" w:cs="Times New Roman"/>
          <w:bCs/>
          <w:sz w:val="24"/>
          <w:szCs w:val="24"/>
          <w:lang w:val="en-US" w:eastAsia="zh-CN"/>
        </w:rPr>
        <w:t>月</w:t>
      </w:r>
      <w:r>
        <w:rPr>
          <w:rFonts w:hint="eastAsia" w:ascii="Times New Roman" w:hAnsi="Times New Roman" w:eastAsia="宋体" w:cs="Times New Roman"/>
          <w:bCs/>
          <w:sz w:val="24"/>
          <w:szCs w:val="24"/>
          <w:lang w:val="en-US" w:eastAsia="zh-CN"/>
        </w:rPr>
        <w:t>2</w:t>
      </w:r>
      <w:r>
        <w:rPr>
          <w:rFonts w:hint="eastAsia" w:ascii="Times New Roman" w:hAnsi="Times New Roman" w:cs="Times New Roman"/>
          <w:bCs/>
          <w:sz w:val="24"/>
          <w:szCs w:val="24"/>
          <w:lang w:val="en-US" w:eastAsia="zh-CN"/>
        </w:rPr>
        <w:t>3</w:t>
      </w:r>
      <w:r>
        <w:rPr>
          <w:rFonts w:hint="default" w:ascii="Times New Roman" w:hAnsi="Times New Roman" w:eastAsia="宋体" w:cs="Times New Roman"/>
          <w:bCs/>
          <w:sz w:val="24"/>
          <w:szCs w:val="24"/>
          <w:lang w:val="en-US" w:eastAsia="zh-CN"/>
        </w:rPr>
        <w:t>日取得</w:t>
      </w:r>
      <w:r>
        <w:rPr>
          <w:rFonts w:hint="eastAsia" w:ascii="Times New Roman" w:hAnsi="Times New Roman" w:eastAsia="宋体" w:cs="Times New Roman"/>
          <w:bCs/>
          <w:sz w:val="24"/>
          <w:szCs w:val="24"/>
          <w:lang w:val="en-US" w:eastAsia="zh-CN"/>
        </w:rPr>
        <w:t>了</w:t>
      </w:r>
      <w:r>
        <w:rPr>
          <w:rFonts w:hint="default" w:ascii="Times New Roman" w:hAnsi="Times New Roman" w:eastAsia="宋体" w:cs="Times New Roman"/>
          <w:bCs/>
          <w:sz w:val="24"/>
          <w:szCs w:val="24"/>
          <w:lang w:val="en-US" w:eastAsia="zh-CN"/>
        </w:rPr>
        <w:t>六安市</w:t>
      </w:r>
      <w:r>
        <w:rPr>
          <w:rFonts w:hint="eastAsia" w:ascii="Times New Roman" w:hAnsi="Times New Roman" w:cs="Times New Roman"/>
          <w:bCs/>
          <w:sz w:val="24"/>
          <w:szCs w:val="24"/>
          <w:lang w:val="en-US" w:eastAsia="zh-CN"/>
        </w:rPr>
        <w:t>裕安区</w:t>
      </w:r>
      <w:r>
        <w:rPr>
          <w:rFonts w:hint="default" w:ascii="Times New Roman" w:hAnsi="Times New Roman" w:eastAsia="宋体" w:cs="Times New Roman"/>
          <w:bCs/>
          <w:sz w:val="24"/>
          <w:szCs w:val="24"/>
          <w:lang w:val="en-US" w:eastAsia="zh-CN"/>
        </w:rPr>
        <w:t>生态环境</w:t>
      </w:r>
      <w:r>
        <w:rPr>
          <w:rFonts w:hint="eastAsia" w:ascii="Times New Roman" w:hAnsi="Times New Roman" w:eastAsia="宋体" w:cs="Times New Roman"/>
          <w:bCs/>
          <w:sz w:val="24"/>
          <w:szCs w:val="24"/>
          <w:lang w:val="en-US" w:eastAsia="zh-CN"/>
        </w:rPr>
        <w:t>分</w:t>
      </w:r>
      <w:r>
        <w:rPr>
          <w:rFonts w:hint="default" w:ascii="Times New Roman" w:hAnsi="Times New Roman" w:eastAsia="宋体" w:cs="Times New Roman"/>
          <w:bCs/>
          <w:sz w:val="24"/>
          <w:szCs w:val="24"/>
          <w:lang w:val="en-US" w:eastAsia="zh-CN"/>
        </w:rPr>
        <w:t>局</w:t>
      </w:r>
      <w:r>
        <w:rPr>
          <w:rFonts w:hint="eastAsia" w:ascii="Times New Roman" w:hAnsi="Times New Roman" w:eastAsia="宋体" w:cs="Times New Roman"/>
          <w:bCs/>
          <w:sz w:val="24"/>
          <w:szCs w:val="24"/>
          <w:lang w:val="en-US" w:eastAsia="zh-CN"/>
        </w:rPr>
        <w:t>《</w:t>
      </w:r>
      <w:r>
        <w:rPr>
          <w:rFonts w:hint="eastAsia"/>
          <w:sz w:val="24"/>
        </w:rPr>
        <w:t>关于</w:t>
      </w:r>
      <w:r>
        <w:rPr>
          <w:rFonts w:hint="eastAsia" w:eastAsia="宋体"/>
          <w:sz w:val="24"/>
          <w:lang w:eastAsia="zh-CN"/>
        </w:rPr>
        <w:t>赫威环境科技（安徽）有限公司赫威辐射冷暖管路生产项目</w:t>
      </w:r>
      <w:r>
        <w:rPr>
          <w:rFonts w:hint="eastAsia"/>
          <w:sz w:val="24"/>
        </w:rPr>
        <w:t>环境影响报告表的批复</w:t>
      </w:r>
      <w:r>
        <w:rPr>
          <w:rFonts w:hint="default" w:ascii="Times New Roman" w:hAnsi="Times New Roman" w:eastAsia="宋体" w:cs="Times New Roman"/>
          <w:bCs/>
          <w:sz w:val="24"/>
          <w:szCs w:val="24"/>
          <w:lang w:val="en-US" w:eastAsia="zh-CN"/>
        </w:rPr>
        <w:t>》（</w:t>
      </w:r>
      <w:r>
        <w:rPr>
          <w:rFonts w:hint="default" w:ascii="Times New Roman" w:hAnsi="Times New Roman" w:cs="Times New Roman"/>
          <w:color w:val="auto"/>
          <w:sz w:val="24"/>
          <w:lang w:eastAsia="zh-CN"/>
        </w:rPr>
        <w:t>裕环审</w:t>
      </w:r>
      <w:r>
        <w:rPr>
          <w:rFonts w:hint="default" w:ascii="Times New Roman" w:hAnsi="Times New Roman" w:eastAsia="宋体" w:cs="Times New Roman"/>
          <w:sz w:val="24"/>
        </w:rPr>
        <w:t>〔20</w:t>
      </w:r>
      <w:r>
        <w:rPr>
          <w:rFonts w:hint="default" w:ascii="Times New Roman" w:hAnsi="Times New Roman" w:cs="Times New Roman"/>
          <w:sz w:val="24"/>
          <w:lang w:val="en-US" w:eastAsia="zh-CN"/>
        </w:rPr>
        <w:t>21</w:t>
      </w:r>
      <w:r>
        <w:rPr>
          <w:rFonts w:hint="default" w:ascii="Times New Roman" w:hAnsi="Times New Roman" w:eastAsia="宋体" w:cs="Times New Roman"/>
          <w:sz w:val="24"/>
        </w:rPr>
        <w:t>〕</w:t>
      </w:r>
      <w:r>
        <w:rPr>
          <w:rFonts w:hint="default" w:ascii="Times New Roman" w:hAnsi="Times New Roman" w:cs="Times New Roman"/>
          <w:sz w:val="24"/>
          <w:lang w:val="en-US" w:eastAsia="zh-CN"/>
        </w:rPr>
        <w:t>45</w:t>
      </w:r>
      <w:r>
        <w:rPr>
          <w:rFonts w:hint="default" w:ascii="Times New Roman" w:hAnsi="Times New Roman" w:eastAsia="宋体" w:cs="Times New Roman"/>
          <w:sz w:val="24"/>
        </w:rPr>
        <w:t>号</w:t>
      </w:r>
      <w:r>
        <w:rPr>
          <w:rFonts w:hint="default" w:ascii="Times New Roman" w:hAnsi="Times New Roman" w:eastAsia="宋体" w:cs="Times New Roman"/>
          <w:bCs/>
          <w:sz w:val="24"/>
          <w:szCs w:val="24"/>
          <w:lang w:val="en-US" w:eastAsia="zh-CN"/>
        </w:rPr>
        <w:t>）。202</w:t>
      </w:r>
      <w:r>
        <w:rPr>
          <w:rFonts w:hint="default" w:ascii="Times New Roman" w:hAnsi="Times New Roman" w:cs="Times New Roman"/>
          <w:bCs/>
          <w:sz w:val="24"/>
          <w:szCs w:val="24"/>
          <w:lang w:val="en-US" w:eastAsia="zh-CN"/>
        </w:rPr>
        <w:t>1</w:t>
      </w:r>
      <w:r>
        <w:rPr>
          <w:rFonts w:hint="default" w:ascii="Times New Roman" w:hAnsi="Times New Roman" w:eastAsia="宋体" w:cs="Times New Roman"/>
          <w:bCs/>
          <w:sz w:val="24"/>
          <w:szCs w:val="24"/>
          <w:lang w:val="en-US" w:eastAsia="zh-CN"/>
        </w:rPr>
        <w:t>年</w:t>
      </w:r>
      <w:r>
        <w:rPr>
          <w:rFonts w:hint="default" w:ascii="Times New Roman" w:hAnsi="Times New Roman" w:cs="Times New Roman"/>
          <w:bCs/>
          <w:sz w:val="24"/>
          <w:szCs w:val="24"/>
          <w:lang w:val="en-US" w:eastAsia="zh-CN"/>
        </w:rPr>
        <w:t>9</w:t>
      </w:r>
      <w:r>
        <w:rPr>
          <w:rFonts w:hint="default" w:ascii="Times New Roman" w:hAnsi="Times New Roman" w:eastAsia="宋体" w:cs="Times New Roman"/>
          <w:bCs/>
          <w:sz w:val="24"/>
          <w:szCs w:val="24"/>
          <w:lang w:val="en-US" w:eastAsia="zh-CN"/>
        </w:rPr>
        <w:t>月开工</w:t>
      </w:r>
      <w:r>
        <w:rPr>
          <w:rFonts w:hint="eastAsia" w:ascii="Times New Roman" w:hAnsi="Times New Roman" w:eastAsia="宋体" w:cs="Times New Roman"/>
          <w:bCs/>
          <w:sz w:val="24"/>
          <w:szCs w:val="24"/>
          <w:lang w:val="en-US" w:eastAsia="zh-CN"/>
        </w:rPr>
        <w:t>，于2022年</w:t>
      </w:r>
      <w:r>
        <w:rPr>
          <w:rFonts w:hint="eastAsia" w:ascii="Times New Roman" w:hAnsi="Times New Roman" w:cs="Times New Roman"/>
          <w:bCs/>
          <w:sz w:val="24"/>
          <w:szCs w:val="24"/>
          <w:lang w:val="en-US" w:eastAsia="zh-CN"/>
        </w:rPr>
        <w:t>5</w:t>
      </w:r>
      <w:r>
        <w:rPr>
          <w:rFonts w:hint="eastAsia" w:ascii="Times New Roman" w:hAnsi="Times New Roman" w:eastAsia="宋体" w:cs="Times New Roman"/>
          <w:bCs/>
          <w:sz w:val="24"/>
          <w:szCs w:val="24"/>
          <w:lang w:val="en-US" w:eastAsia="zh-CN"/>
        </w:rPr>
        <w:t>月开始调试。</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eastAsia" w:ascii="Times New Roman" w:hAnsi="Times New Roman" w:cs="Times New Roman"/>
          <w:color w:val="auto"/>
          <w:sz w:val="24"/>
          <w:lang w:val="en-US" w:eastAsia="zh-CN"/>
        </w:rPr>
        <w:t>5500</w:t>
      </w:r>
      <w:r>
        <w:rPr>
          <w:rFonts w:hint="default" w:ascii="Times New Roman" w:hAnsi="Times New Roman" w:eastAsia="宋体" w:cs="Times New Roman"/>
          <w:color w:val="auto"/>
          <w:sz w:val="24"/>
          <w:lang w:val="en-US" w:eastAsia="zh-CN"/>
        </w:rPr>
        <w:t>万元，环保投资</w:t>
      </w:r>
      <w:r>
        <w:rPr>
          <w:rFonts w:hint="eastAsia" w:ascii="Times New Roman" w:hAnsi="Times New Roman" w:cs="Times New Roman"/>
          <w:color w:val="auto"/>
          <w:sz w:val="24"/>
          <w:lang w:val="en-US" w:eastAsia="zh-CN"/>
        </w:rPr>
        <w:t>30</w:t>
      </w:r>
      <w:r>
        <w:rPr>
          <w:rFonts w:hint="default" w:ascii="Times New Roman" w:hAnsi="Times New Roman" w:eastAsia="宋体" w:cs="Times New Roman"/>
          <w:color w:val="auto"/>
          <w:sz w:val="24"/>
          <w:lang w:val="en-US" w:eastAsia="zh-CN"/>
        </w:rPr>
        <w:t>万元，占总投资额的</w:t>
      </w:r>
      <w:r>
        <w:rPr>
          <w:rFonts w:hint="eastAsia" w:ascii="Times New Roman" w:hAnsi="Times New Roman" w:cs="Times New Roman"/>
          <w:color w:val="auto"/>
          <w:sz w:val="24"/>
          <w:lang w:val="en-US" w:eastAsia="zh-CN"/>
        </w:rPr>
        <w:t>0.54</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焊接烟尘废气处理设施由布袋除尘器改为移动式焊烟净化器，项目废气处理能力未被削弱，大气污染物无组织排放量未增加10%。</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lang w:val="en-US" w:eastAsia="zh-CN"/>
        </w:rPr>
        <w:t>综上所述本项目不存在重大项目变动，</w:t>
      </w:r>
      <w:r>
        <w:rPr>
          <w:rFonts w:hint="default" w:ascii="Times New Roman" w:hAnsi="Times New Roman" w:eastAsia="宋体" w:cs="Times New Roman"/>
          <w:color w:val="auto"/>
          <w:sz w:val="24"/>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pStyle w:val="2"/>
        <w:spacing w:line="360" w:lineRule="auto"/>
        <w:ind w:firstLineChars="200"/>
        <w:rPr>
          <w:rFonts w:hint="eastAsia" w:eastAsia="宋体"/>
          <w:b w:val="0"/>
          <w:bCs/>
          <w:sz w:val="24"/>
          <w:highlight w:val="none"/>
          <w:lang w:val="en-US" w:eastAsia="zh-CN"/>
        </w:rPr>
      </w:pPr>
      <w:r>
        <w:rPr>
          <w:b w:val="0"/>
          <w:bCs/>
          <w:sz w:val="24"/>
          <w:szCs w:val="24"/>
        </w:rPr>
        <w:t>建设项目厂区排水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eastAsia"/>
          <w:b w:val="0"/>
          <w:bCs/>
          <w:sz w:val="24"/>
          <w:highlight w:val="none"/>
        </w:rPr>
        <w:t>根据水平衡示意图，</w:t>
      </w:r>
      <w:r>
        <w:rPr>
          <w:rFonts w:hint="eastAsia"/>
          <w:b w:val="0"/>
          <w:bCs/>
          <w:color w:val="000000"/>
          <w:highlight w:val="none"/>
        </w:rPr>
        <w:t>本项目用水为</w:t>
      </w:r>
      <w:r>
        <w:rPr>
          <w:rFonts w:hint="eastAsia"/>
          <w:b w:val="0"/>
          <w:bCs/>
          <w:color w:val="000000"/>
          <w:highlight w:val="none"/>
          <w:lang w:eastAsia="zh-CN"/>
        </w:rPr>
        <w:t>挤出工件</w:t>
      </w:r>
      <w:r>
        <w:rPr>
          <w:rFonts w:hint="eastAsia"/>
          <w:b w:val="0"/>
          <w:bCs/>
          <w:color w:val="000000"/>
          <w:highlight w:val="none"/>
        </w:rPr>
        <w:t>冷却水</w:t>
      </w:r>
      <w:r>
        <w:rPr>
          <w:rFonts w:hint="eastAsia"/>
          <w:b w:val="0"/>
          <w:bCs/>
          <w:color w:val="000000"/>
          <w:highlight w:val="none"/>
          <w:lang w:eastAsia="zh-CN"/>
        </w:rPr>
        <w:t>、和</w:t>
      </w:r>
      <w:r>
        <w:rPr>
          <w:rFonts w:hint="eastAsia"/>
          <w:b w:val="0"/>
          <w:bCs/>
          <w:color w:val="000000"/>
          <w:highlight w:val="none"/>
        </w:rPr>
        <w:t>生活用水，</w:t>
      </w:r>
      <w:r>
        <w:rPr>
          <w:rFonts w:hint="eastAsia"/>
          <w:b w:val="0"/>
          <w:bCs/>
          <w:color w:val="000000"/>
          <w:highlight w:val="none"/>
          <w:lang w:eastAsia="zh-CN"/>
        </w:rPr>
        <w:t>其中</w:t>
      </w:r>
      <w:r>
        <w:rPr>
          <w:rFonts w:hint="eastAsia"/>
          <w:b w:val="0"/>
          <w:bCs/>
          <w:sz w:val="24"/>
          <w:highlight w:val="none"/>
          <w:lang w:eastAsia="zh-CN"/>
        </w:rPr>
        <w:t>冷却水循环使用不外排</w:t>
      </w:r>
      <w:r>
        <w:rPr>
          <w:rFonts w:hint="eastAsia" w:ascii="Times New Roman" w:cs="Times New Roman"/>
          <w:b w:val="0"/>
          <w:bCs/>
          <w:highlight w:val="none"/>
          <w:lang w:val="en-US" w:eastAsia="zh-CN"/>
        </w:rPr>
        <w:t>，</w:t>
      </w:r>
      <w:r>
        <w:rPr>
          <w:rFonts w:ascii="Times New Roman" w:cs="Times New Roman"/>
          <w:b w:val="0"/>
          <w:bCs/>
          <w:highlight w:val="none"/>
        </w:rPr>
        <w:t>生活污水经化粪池处理后</w:t>
      </w:r>
      <w:r>
        <w:rPr>
          <w:rFonts w:hint="eastAsia" w:ascii="Times New Roman" w:cs="Times New Roman"/>
          <w:b w:val="0"/>
          <w:bCs/>
          <w:highlight w:val="none"/>
        </w:rPr>
        <w:t>接入市政污水管网纳入</w:t>
      </w:r>
      <w:r>
        <w:rPr>
          <w:rFonts w:hint="eastAsia" w:ascii="Times New Roman" w:cs="Times New Roman"/>
          <w:b w:val="0"/>
          <w:bCs/>
          <w:highlight w:val="none"/>
          <w:lang w:eastAsia="zh-CN"/>
        </w:rPr>
        <w:t>裕安区污水处理中心。</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pStyle w:val="37"/>
        <w:keepNext w:val="0"/>
        <w:keepLines w:val="0"/>
        <w:pageBreakBefore w:val="0"/>
        <w:widowControl w:val="0"/>
        <w:numPr>
          <w:ilvl w:val="0"/>
          <w:numId w:val="0"/>
        </w:numPr>
        <w:kinsoku/>
        <w:wordWrap/>
        <w:overflowPunct/>
        <w:topLinePunct w:val="0"/>
        <w:autoSpaceDE w:val="0"/>
        <w:autoSpaceDN w:val="0"/>
        <w:bidi w:val="0"/>
        <w:adjustRightInd w:val="0"/>
        <w:snapToGrid/>
        <w:spacing w:before="0" w:after="0"/>
        <w:ind w:firstLine="480" w:firstLineChars="200"/>
        <w:jc w:val="both"/>
        <w:textAlignment w:val="auto"/>
        <w:rPr>
          <w:rFonts w:hint="eastAsia" w:eastAsia="宋体"/>
          <w:lang w:val="en-US" w:eastAsia="zh-CN"/>
        </w:rPr>
      </w:pPr>
      <w:r>
        <w:rPr>
          <w:rFonts w:hint="eastAsia"/>
          <w:b w:val="0"/>
          <w:bCs/>
          <w:sz w:val="24"/>
          <w:szCs w:val="24"/>
          <w:lang w:eastAsia="zh-CN"/>
        </w:rPr>
        <w:t>废气污染源主要为</w:t>
      </w:r>
      <w:r>
        <w:rPr>
          <w:rFonts w:hint="eastAsia"/>
          <w:color w:val="auto"/>
          <w:szCs w:val="21"/>
          <w:highlight w:val="none"/>
          <w:lang w:eastAsia="zh-CN"/>
        </w:rPr>
        <w:t>热熔挤出废气、焊接烟尘、喷码废气。热熔挤出废气：对</w:t>
      </w:r>
      <w:r>
        <w:rPr>
          <w:rFonts w:hint="eastAsia"/>
          <w:color w:val="auto"/>
          <w:szCs w:val="21"/>
          <w:highlight w:val="none"/>
          <w:lang w:val="en-US" w:eastAsia="zh-CN"/>
        </w:rPr>
        <w:t>热熔挤出工区进行封闭，并配套负压系统，同时对挤出机废气散逸口上方设集气罩，收</w:t>
      </w:r>
      <w:r>
        <w:rPr>
          <w:rFonts w:hint="eastAsia"/>
          <w:color w:val="auto"/>
          <w:szCs w:val="21"/>
          <w:highlight w:val="none"/>
          <w:lang w:eastAsia="zh-CN"/>
        </w:rPr>
        <w:t>集的非甲烷总烃经一套两级活性炭吸附装置，尾气</w:t>
      </w:r>
      <w:r>
        <w:rPr>
          <w:rFonts w:hint="eastAsia"/>
          <w:color w:val="auto"/>
          <w:highlight w:val="none"/>
        </w:rPr>
        <w:t>由1根15m排气筒（DA001）有组织排放</w:t>
      </w:r>
      <w:r>
        <w:rPr>
          <w:rFonts w:hint="eastAsia"/>
          <w:color w:val="auto"/>
          <w:highlight w:val="none"/>
          <w:lang w:eastAsia="zh-CN"/>
        </w:rPr>
        <w:t>；焊接烟尘：</w:t>
      </w:r>
      <w:r>
        <w:rPr>
          <w:rFonts w:hint="eastAsia"/>
          <w:color w:val="000000"/>
          <w:highlight w:val="none"/>
          <w:lang w:eastAsia="zh-CN"/>
        </w:rPr>
        <w:t>采用氩气焊接，根据现场情况，</w:t>
      </w:r>
      <w:r>
        <w:rPr>
          <w:rFonts w:hint="eastAsia" w:ascii="Times New Roman" w:hAnsi="Times New Roman" w:eastAsia="宋体" w:cs="宋体"/>
          <w:color w:val="000000"/>
          <w:highlight w:val="none"/>
          <w:lang w:eastAsia="zh-CN"/>
        </w:rPr>
        <w:t>采用移动式焊烟净化器处理后无组织排放</w:t>
      </w:r>
      <w:r>
        <w:rPr>
          <w:rFonts w:hint="eastAsia"/>
          <w:color w:val="000000"/>
          <w:highlight w:val="none"/>
          <w:lang w:eastAsia="zh-CN"/>
        </w:rPr>
        <w:t>；</w:t>
      </w:r>
      <w:r>
        <w:rPr>
          <w:rFonts w:hint="eastAsia"/>
          <w:color w:val="auto"/>
          <w:highlight w:val="none"/>
          <w:lang w:eastAsia="zh-CN"/>
        </w:rPr>
        <w:t>喷码废气：本项目采用水性油墨作为原料，水性油墨</w:t>
      </w:r>
      <w:r>
        <w:rPr>
          <w:rFonts w:hint="eastAsia"/>
          <w:color w:val="auto"/>
          <w:lang w:val="en-US" w:eastAsia="zh-CN"/>
        </w:rPr>
        <w:t>VOC</w:t>
      </w:r>
      <w:r>
        <w:rPr>
          <w:rFonts w:hint="eastAsia"/>
          <w:color w:val="auto"/>
          <w:vertAlign w:val="subscript"/>
          <w:lang w:val="en-US" w:eastAsia="zh-CN"/>
        </w:rPr>
        <w:t>S</w:t>
      </w:r>
      <w:r>
        <w:rPr>
          <w:rFonts w:hint="eastAsia"/>
          <w:color w:val="auto"/>
          <w:lang w:val="en-US" w:eastAsia="zh-CN"/>
        </w:rPr>
        <w:t>质量比小于10%，废气于厂区</w:t>
      </w:r>
      <w:r>
        <w:rPr>
          <w:rFonts w:hint="eastAsia"/>
          <w:lang w:val="en-US" w:eastAsia="zh-CN"/>
        </w:rPr>
        <w:t>无组织排放。</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numPr>
          <w:ilvl w:val="0"/>
          <w:numId w:val="0"/>
        </w:numPr>
        <w:spacing w:line="360" w:lineRule="auto"/>
        <w:ind w:firstLine="480" w:firstLineChars="200"/>
        <w:rPr>
          <w:rFonts w:hint="default"/>
          <w:b w:val="0"/>
          <w:bCs w:val="0"/>
          <w:sz w:val="24"/>
          <w:szCs w:val="24"/>
        </w:rPr>
      </w:pPr>
      <w:r>
        <w:rPr>
          <w:rFonts w:hint="eastAsia"/>
          <w:sz w:val="24"/>
          <w:highlight w:val="none"/>
          <w:lang w:eastAsia="zh-CN"/>
        </w:rPr>
        <w:t>主要为不合格品、边角料、废包装袋</w:t>
      </w:r>
      <w:r>
        <w:rPr>
          <w:rFonts w:hint="eastAsia"/>
          <w:sz w:val="24"/>
          <w:highlight w:val="none"/>
        </w:rPr>
        <w:t>等</w:t>
      </w:r>
      <w:r>
        <w:rPr>
          <w:rFonts w:hint="eastAsia"/>
          <w:sz w:val="24"/>
          <w:highlight w:val="none"/>
          <w:lang w:eastAsia="zh-CN"/>
        </w:rPr>
        <w:t>，集中</w:t>
      </w:r>
      <w:r>
        <w:rPr>
          <w:rFonts w:hint="eastAsia"/>
          <w:sz w:val="24"/>
        </w:rPr>
        <w:t>收集于</w:t>
      </w:r>
      <w:r>
        <w:rPr>
          <w:rFonts w:hint="eastAsia"/>
          <w:sz w:val="24"/>
          <w:lang w:eastAsia="zh-CN"/>
        </w:rPr>
        <w:t>一般工业固废暂存场所</w:t>
      </w:r>
      <w:r>
        <w:rPr>
          <w:rFonts w:hint="eastAsia"/>
          <w:sz w:val="24"/>
        </w:rPr>
        <w:t>后定期资源外售</w:t>
      </w:r>
      <w:r>
        <w:rPr>
          <w:sz w:val="24"/>
          <w:szCs w:val="24"/>
        </w:rPr>
        <w:t>；</w:t>
      </w:r>
      <w:r>
        <w:rPr>
          <w:rFonts w:hint="eastAsia"/>
          <w:sz w:val="24"/>
          <w:szCs w:val="24"/>
        </w:rPr>
        <w:t>废</w:t>
      </w:r>
      <w:r>
        <w:rPr>
          <w:rFonts w:hint="eastAsia"/>
          <w:sz w:val="24"/>
          <w:szCs w:val="24"/>
          <w:lang w:eastAsia="zh-CN"/>
        </w:rPr>
        <w:t>活性炭、废油墨盒</w:t>
      </w:r>
      <w:r>
        <w:rPr>
          <w:rFonts w:hint="eastAsia"/>
          <w:b w:val="0"/>
          <w:bCs w:val="0"/>
          <w:sz w:val="24"/>
          <w:szCs w:val="24"/>
          <w:lang w:eastAsia="zh-CN"/>
        </w:rPr>
        <w:t>规范收集，分类暂存于危险废物暂存间后委托有相应处理资质的单位进行处理</w:t>
      </w:r>
      <w:r>
        <w:rPr>
          <w:b w:val="0"/>
          <w:bCs w:val="0"/>
          <w:sz w:val="24"/>
          <w:szCs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C0C0C"/>
          <w:sz w:val="24"/>
          <w:lang w:eastAsia="zh-CN"/>
        </w:rPr>
      </w:pPr>
      <w:r>
        <w:rPr>
          <w:rFonts w:hint="default" w:ascii="Times New Roman" w:hAnsi="Times New Roman" w:cs="Times New Roman"/>
          <w:bCs/>
          <w:sz w:val="24"/>
          <w:szCs w:val="24"/>
        </w:rPr>
        <w:t>1、废气：</w:t>
      </w:r>
      <w:r>
        <w:rPr>
          <w:rFonts w:hint="default" w:ascii="Times New Roman" w:hAnsi="Times New Roman" w:cs="Times New Roman"/>
          <w:b w:val="0"/>
          <w:bCs w:val="0"/>
          <w:szCs w:val="22"/>
          <w:lang w:val="en-US" w:eastAsia="zh-CN"/>
        </w:rPr>
        <w:t xml:space="preserve"> </w:t>
      </w:r>
      <w:r>
        <w:rPr>
          <w:rFonts w:ascii="Times New Roman" w:hAnsi="Times New Roman" w:eastAsia="宋体" w:cs="Times New Roman"/>
          <w:color w:val="0C0C0C"/>
          <w:sz w:val="24"/>
        </w:rPr>
        <w:t>主要为</w:t>
      </w:r>
      <w:r>
        <w:rPr>
          <w:rFonts w:hint="eastAsia" w:ascii="Times New Roman" w:hAnsi="Times New Roman" w:eastAsia="宋体" w:cs="Times New Roman"/>
          <w:color w:val="0C0C0C"/>
          <w:sz w:val="24"/>
          <w:lang w:eastAsia="zh-CN"/>
        </w:rPr>
        <w:t>热熔挤出废气，于</w:t>
      </w:r>
      <w:r>
        <w:rPr>
          <w:rFonts w:hint="eastAsia" w:ascii="Times New Roman" w:hAnsi="Times New Roman" w:eastAsia="宋体" w:cs="Times New Roman"/>
          <w:color w:val="0C0C0C"/>
          <w:sz w:val="24"/>
          <w:lang w:val="en-US" w:eastAsia="zh-CN"/>
        </w:rPr>
        <w:t>挤出机废气散逸口上方设集气罩，收</w:t>
      </w:r>
      <w:r>
        <w:rPr>
          <w:rFonts w:hint="eastAsia" w:ascii="Times New Roman" w:hAnsi="Times New Roman" w:eastAsia="宋体" w:cs="Times New Roman"/>
          <w:color w:val="0C0C0C"/>
          <w:sz w:val="24"/>
          <w:lang w:eastAsia="zh-CN"/>
        </w:rPr>
        <w:t>集的非甲烷总烃经</w:t>
      </w:r>
      <w:r>
        <w:rPr>
          <w:rFonts w:hint="eastAsia" w:ascii="Times New Roman" w:hAnsi="Times New Roman" w:eastAsia="宋体" w:cs="Times New Roman"/>
          <w:color w:val="0C0C0C"/>
          <w:sz w:val="24"/>
          <w:lang w:val="en-US" w:eastAsia="zh-CN"/>
        </w:rPr>
        <w:t>1</w:t>
      </w:r>
      <w:r>
        <w:rPr>
          <w:rFonts w:hint="eastAsia" w:ascii="Times New Roman" w:hAnsi="Times New Roman" w:eastAsia="宋体" w:cs="Times New Roman"/>
          <w:color w:val="0C0C0C"/>
          <w:sz w:val="24"/>
          <w:lang w:eastAsia="zh-CN"/>
        </w:rPr>
        <w:t>套两级活性炭吸附装置，尾气由1根15m排气筒有组织排放。</w:t>
      </w:r>
      <w:r>
        <w:rPr>
          <w:rFonts w:hint="eastAsia" w:ascii="Times New Roman" w:hAnsi="Times New Roman" w:eastAsia="宋体" w:cs="Times New Roman"/>
          <w:color w:val="0C0C0C"/>
          <w:sz w:val="24"/>
        </w:rPr>
        <w:t>根据监测结果</w:t>
      </w:r>
      <w:r>
        <w:rPr>
          <w:rFonts w:hint="eastAsia" w:ascii="Times New Roman" w:hAnsi="Times New Roman" w:eastAsia="宋体" w:cs="Times New Roman"/>
          <w:color w:val="0C0C0C"/>
          <w:sz w:val="24"/>
          <w:lang w:eastAsia="zh-CN"/>
        </w:rPr>
        <w:t>，</w:t>
      </w:r>
      <w:r>
        <w:rPr>
          <w:sz w:val="24"/>
          <w:szCs w:val="24"/>
        </w:rPr>
        <w:t>项目</w:t>
      </w:r>
      <w:r>
        <w:rPr>
          <w:rFonts w:hint="eastAsia"/>
          <w:sz w:val="24"/>
          <w:szCs w:val="24"/>
        </w:rPr>
        <w:t>非甲烷总烃排放</w:t>
      </w:r>
      <w:r>
        <w:rPr>
          <w:rFonts w:hint="eastAsia"/>
          <w:sz w:val="24"/>
          <w:szCs w:val="24"/>
          <w:lang w:eastAsia="zh-CN"/>
        </w:rPr>
        <w:t>满足</w:t>
      </w:r>
      <w:r>
        <w:rPr>
          <w:rFonts w:hint="eastAsia" w:ascii="Times New Roman" w:hAnsi="Times New Roman" w:eastAsia="宋体" w:cs="Times New Roman"/>
          <w:color w:val="0C0C0C"/>
          <w:sz w:val="24"/>
          <w:lang w:eastAsia="zh-CN"/>
        </w:rPr>
        <w:t>《合成树脂工业污染物排放标准》（GB31572-2015）中大气污染物特别排放限值。</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b w:val="0"/>
          <w:bCs w:val="0"/>
          <w:color w:val="000000"/>
          <w:kern w:val="2"/>
          <w:sz w:val="24"/>
          <w:szCs w:val="24"/>
          <w:lang w:val="en-US" w:eastAsia="zh-CN" w:bidi="ar-SA"/>
        </w:rPr>
        <w:t>2、噪声：</w:t>
      </w:r>
      <w:r>
        <w:rPr>
          <w:rFonts w:eastAsia="宋体" w:cs="Times New Roman"/>
        </w:rPr>
        <w:t>验收监测期间，</w:t>
      </w:r>
      <w:r>
        <w:rPr>
          <w:rFonts w:hint="default" w:ascii="Times New Roman" w:hAnsi="Times New Roman" w:eastAsia="宋体" w:cs="Times New Roman"/>
        </w:rPr>
        <w:t>项目四至厂界昼间噪声在</w:t>
      </w:r>
      <w:r>
        <w:rPr>
          <w:rFonts w:hint="eastAsia" w:ascii="Times New Roman" w:hAnsi="Times New Roman" w:cs="Times New Roman"/>
          <w:lang w:val="en-US" w:eastAsia="zh-CN"/>
        </w:rPr>
        <w:t>5</w:t>
      </w:r>
      <w:r>
        <w:rPr>
          <w:rFonts w:hint="default" w:ascii="Times New Roman" w:hAnsi="Times New Roman" w:cs="Times New Roman"/>
          <w:lang w:val="en-US" w:eastAsia="zh-CN"/>
        </w:rPr>
        <w:t>6</w:t>
      </w:r>
      <w:r>
        <w:rPr>
          <w:rFonts w:hint="default" w:ascii="Times New Roman" w:hAnsi="Times New Roman" w:eastAsia="宋体" w:cs="Times New Roman"/>
          <w:color w:val="auto"/>
          <w:shd w:val="clear" w:color="auto" w:fill="auto"/>
        </w:rPr>
        <w:t>dB（A）</w:t>
      </w:r>
      <w:r>
        <w:rPr>
          <w:rFonts w:hint="default" w:ascii="Times New Roman" w:hAnsi="Times New Roman" w:eastAsia="宋体" w:cs="Times New Roman"/>
          <w:color w:val="auto"/>
          <w:shd w:val="clear" w:color="auto" w:fill="auto"/>
          <w:lang w:val="en-US" w:eastAsia="zh-CN"/>
        </w:rPr>
        <w:t xml:space="preserve">- </w:t>
      </w:r>
      <w:r>
        <w:rPr>
          <w:rFonts w:hint="default" w:ascii="Times New Roman" w:hAnsi="Times New Roman" w:cs="Times New Roman"/>
          <w:color w:val="auto"/>
          <w:shd w:val="clear" w:color="auto" w:fill="auto"/>
          <w:lang w:val="en-US" w:eastAsia="zh-CN"/>
        </w:rPr>
        <w:t>59</w:t>
      </w:r>
      <w:r>
        <w:rPr>
          <w:rFonts w:hint="default" w:ascii="Times New Roman" w:hAnsi="Times New Roman" w:eastAsia="宋体" w:cs="Times New Roman"/>
          <w:color w:val="auto"/>
          <w:shd w:val="clear" w:color="auto" w:fill="auto"/>
        </w:rPr>
        <w:t>dB（A）</w:t>
      </w:r>
      <w:r>
        <w:rPr>
          <w:rFonts w:hint="default" w:ascii="Times New Roman" w:hAnsi="Times New Roman" w:eastAsia="宋体" w:cs="Times New Roman"/>
        </w:rPr>
        <w:t>之间</w:t>
      </w:r>
      <w:r>
        <w:rPr>
          <w:rFonts w:hint="eastAsia" w:ascii="Times New Roman" w:hAnsi="Times New Roman" w:cs="Times New Roman"/>
          <w:lang w:eastAsia="zh-CN"/>
        </w:rPr>
        <w:t>、夜间噪声</w:t>
      </w:r>
      <w:r>
        <w:rPr>
          <w:rFonts w:hint="default" w:ascii="Times New Roman" w:hAnsi="Times New Roman" w:eastAsia="宋体" w:cs="Times New Roman"/>
        </w:rPr>
        <w:t>在</w:t>
      </w:r>
      <w:r>
        <w:rPr>
          <w:rFonts w:hint="eastAsia" w:ascii="Times New Roman" w:hAnsi="Times New Roman" w:cs="Times New Roman"/>
          <w:lang w:val="en-US" w:eastAsia="zh-CN"/>
        </w:rPr>
        <w:t>47</w:t>
      </w:r>
      <w:r>
        <w:rPr>
          <w:rFonts w:hint="default" w:ascii="Times New Roman" w:hAnsi="Times New Roman" w:eastAsia="宋体" w:cs="Times New Roman"/>
          <w:color w:val="auto"/>
          <w:shd w:val="clear" w:color="auto" w:fill="auto"/>
        </w:rPr>
        <w:t>dB（A）</w:t>
      </w:r>
      <w:r>
        <w:rPr>
          <w:rFonts w:hint="default" w:ascii="Times New Roman" w:hAnsi="Times New Roman" w:eastAsia="宋体" w:cs="Times New Roman"/>
          <w:color w:val="auto"/>
          <w:shd w:val="clear" w:color="auto" w:fill="auto"/>
          <w:lang w:val="en-US" w:eastAsia="zh-CN"/>
        </w:rPr>
        <w:t xml:space="preserve">- </w:t>
      </w:r>
      <w:r>
        <w:rPr>
          <w:rFonts w:hint="eastAsia" w:ascii="Times New Roman" w:hAnsi="Times New Roman" w:cs="Times New Roman"/>
          <w:color w:val="auto"/>
          <w:shd w:val="clear" w:color="auto" w:fill="auto"/>
          <w:lang w:val="en-US" w:eastAsia="zh-CN"/>
        </w:rPr>
        <w:t>4</w:t>
      </w:r>
      <w:r>
        <w:rPr>
          <w:rFonts w:hint="default" w:ascii="Times New Roman" w:hAnsi="Times New Roman" w:cs="Times New Roman"/>
          <w:color w:val="auto"/>
          <w:shd w:val="clear" w:color="auto" w:fill="auto"/>
          <w:lang w:val="en-US" w:eastAsia="zh-CN"/>
        </w:rPr>
        <w:t>9</w:t>
      </w:r>
      <w:r>
        <w:rPr>
          <w:rFonts w:hint="default" w:ascii="Times New Roman" w:hAnsi="Times New Roman" w:eastAsia="宋体" w:cs="Times New Roman"/>
          <w:color w:val="auto"/>
          <w:shd w:val="clear" w:color="auto" w:fill="auto"/>
        </w:rPr>
        <w:t>dB（A）</w:t>
      </w:r>
      <w:r>
        <w:rPr>
          <w:rFonts w:hint="default" w:ascii="Times New Roman" w:hAnsi="Times New Roman" w:eastAsia="宋体" w:cs="Times New Roman"/>
        </w:rPr>
        <w:t>之间，监测结果均符合《工业企业厂界环境噪声排放标准》（GB12348-2008）3类区标准限值要求。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6"/>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11</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12</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C9653E"/>
    <w:rsid w:val="080C71B4"/>
    <w:rsid w:val="0869623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D6E60A1"/>
    <w:rsid w:val="0D9A4A13"/>
    <w:rsid w:val="0F010B87"/>
    <w:rsid w:val="0F2521BC"/>
    <w:rsid w:val="0F5F081A"/>
    <w:rsid w:val="10053432"/>
    <w:rsid w:val="102A66A9"/>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F53EA8"/>
    <w:rsid w:val="16F60F71"/>
    <w:rsid w:val="17765C17"/>
    <w:rsid w:val="17CE60BA"/>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1D73DBD"/>
    <w:rsid w:val="21FE759C"/>
    <w:rsid w:val="22D622C7"/>
    <w:rsid w:val="23E91323"/>
    <w:rsid w:val="252C4420"/>
    <w:rsid w:val="25575222"/>
    <w:rsid w:val="26054E2E"/>
    <w:rsid w:val="261134F9"/>
    <w:rsid w:val="26324060"/>
    <w:rsid w:val="264E03C6"/>
    <w:rsid w:val="26CE113B"/>
    <w:rsid w:val="276854B7"/>
    <w:rsid w:val="285F68BA"/>
    <w:rsid w:val="287D03CF"/>
    <w:rsid w:val="2892534E"/>
    <w:rsid w:val="2898565F"/>
    <w:rsid w:val="29B46415"/>
    <w:rsid w:val="2A5323BB"/>
    <w:rsid w:val="2A620CCA"/>
    <w:rsid w:val="2A92112B"/>
    <w:rsid w:val="2B362C3B"/>
    <w:rsid w:val="2B416155"/>
    <w:rsid w:val="2B613280"/>
    <w:rsid w:val="2BA34C70"/>
    <w:rsid w:val="2C7B60D8"/>
    <w:rsid w:val="2CF72479"/>
    <w:rsid w:val="2D2C1294"/>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0E85247"/>
    <w:rsid w:val="41BD2F8C"/>
    <w:rsid w:val="4209276A"/>
    <w:rsid w:val="425F3C2F"/>
    <w:rsid w:val="42904AAE"/>
    <w:rsid w:val="42B55273"/>
    <w:rsid w:val="43095D37"/>
    <w:rsid w:val="432D2FB8"/>
    <w:rsid w:val="4333000A"/>
    <w:rsid w:val="43543068"/>
    <w:rsid w:val="44DD642E"/>
    <w:rsid w:val="44EC5230"/>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AD0256"/>
    <w:rsid w:val="58BC051F"/>
    <w:rsid w:val="58C506B2"/>
    <w:rsid w:val="59022082"/>
    <w:rsid w:val="593E548E"/>
    <w:rsid w:val="59BD4B1E"/>
    <w:rsid w:val="59BE2633"/>
    <w:rsid w:val="5A0D7886"/>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31D5D54"/>
    <w:rsid w:val="63372B78"/>
    <w:rsid w:val="63954224"/>
    <w:rsid w:val="63BD2610"/>
    <w:rsid w:val="63E43657"/>
    <w:rsid w:val="64140B31"/>
    <w:rsid w:val="645857B2"/>
    <w:rsid w:val="64A76966"/>
    <w:rsid w:val="64E41A84"/>
    <w:rsid w:val="64FF302C"/>
    <w:rsid w:val="654451BF"/>
    <w:rsid w:val="65CD2ADA"/>
    <w:rsid w:val="66361340"/>
    <w:rsid w:val="66775637"/>
    <w:rsid w:val="6692162D"/>
    <w:rsid w:val="66F37636"/>
    <w:rsid w:val="670A426C"/>
    <w:rsid w:val="67443D5C"/>
    <w:rsid w:val="689F673B"/>
    <w:rsid w:val="69465AD2"/>
    <w:rsid w:val="69611BE9"/>
    <w:rsid w:val="6ADB1E90"/>
    <w:rsid w:val="6B466C79"/>
    <w:rsid w:val="6B96571C"/>
    <w:rsid w:val="6C2D05E5"/>
    <w:rsid w:val="6C8F043D"/>
    <w:rsid w:val="6C9E6DBD"/>
    <w:rsid w:val="6CAB20ED"/>
    <w:rsid w:val="6D07312B"/>
    <w:rsid w:val="6D61711B"/>
    <w:rsid w:val="6D837F22"/>
    <w:rsid w:val="6DD514EF"/>
    <w:rsid w:val="6E48658E"/>
    <w:rsid w:val="6EF93177"/>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70B11F1"/>
    <w:rsid w:val="7733241D"/>
    <w:rsid w:val="775A7F45"/>
    <w:rsid w:val="77F20C9D"/>
    <w:rsid w:val="78393FFF"/>
    <w:rsid w:val="788201F0"/>
    <w:rsid w:val="78C902B9"/>
    <w:rsid w:val="78D45AD6"/>
    <w:rsid w:val="79053354"/>
    <w:rsid w:val="7956473D"/>
    <w:rsid w:val="795A0303"/>
    <w:rsid w:val="795E2818"/>
    <w:rsid w:val="799331F3"/>
    <w:rsid w:val="7A005AB3"/>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1"/>
    <w:qFormat/>
    <w:uiPriority w:val="0"/>
    <w:pPr>
      <w:adjustRightInd w:val="0"/>
      <w:spacing w:line="312" w:lineRule="auto"/>
      <w:ind w:firstLine="567"/>
    </w:pPr>
    <w:rPr>
      <w:rFonts w:ascii="宋体"/>
      <w:kern w:val="0"/>
      <w:sz w:val="28"/>
    </w:rPr>
  </w:style>
  <w:style w:type="paragraph" w:styleId="5">
    <w:name w:val="Document Map"/>
    <w:basedOn w:val="1"/>
    <w:link w:val="29"/>
    <w:unhideWhenUsed/>
    <w:qFormat/>
    <w:uiPriority w:val="99"/>
    <w:rPr>
      <w:rFonts w:ascii="宋体"/>
      <w:sz w:val="18"/>
      <w:szCs w:val="18"/>
    </w:rPr>
  </w:style>
  <w:style w:type="paragraph" w:styleId="6">
    <w:name w:val="Body Text"/>
    <w:basedOn w:val="1"/>
    <w:link w:val="25"/>
    <w:qFormat/>
    <w:uiPriority w:val="99"/>
    <w:rPr>
      <w:sz w:val="24"/>
      <w:szCs w:val="24"/>
    </w:rPr>
  </w:style>
  <w:style w:type="paragraph" w:styleId="7">
    <w:name w:val="Body Text Indent"/>
    <w:basedOn w:val="1"/>
    <w:qFormat/>
    <w:uiPriority w:val="99"/>
  </w:style>
  <w:style w:type="paragraph" w:styleId="8">
    <w:name w:val="Date"/>
    <w:basedOn w:val="1"/>
    <w:next w:val="1"/>
    <w:link w:val="30"/>
    <w:unhideWhenUsed/>
    <w:qFormat/>
    <w:uiPriority w:val="99"/>
    <w:pPr>
      <w:ind w:left="100" w:leftChars="2500"/>
    </w:pPr>
  </w:style>
  <w:style w:type="paragraph" w:styleId="9">
    <w:name w:val="Balloon Text"/>
    <w:basedOn w:val="1"/>
    <w:link w:val="26"/>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3">
    <w:name w:val="Body Text First Indent 2"/>
    <w:basedOn w:val="7"/>
    <w:next w:val="1"/>
    <w:qFormat/>
    <w:uiPriority w:val="0"/>
    <w:pPr>
      <w:ind w:firstLine="420"/>
    </w:p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99"/>
    <w:rPr>
      <w:b/>
      <w:bCs/>
    </w:rPr>
  </w:style>
  <w:style w:type="character" w:styleId="18">
    <w:name w:val="page number"/>
    <w:basedOn w:val="16"/>
    <w:qFormat/>
    <w:uiPriority w:val="99"/>
  </w:style>
  <w:style w:type="character" w:styleId="19">
    <w:name w:val="Hyperlink"/>
    <w:basedOn w:val="16"/>
    <w:qFormat/>
    <w:uiPriority w:val="99"/>
    <w:rPr>
      <w:color w:val="0000FF"/>
      <w:u w:val="single"/>
    </w:rPr>
  </w:style>
  <w:style w:type="character" w:styleId="20">
    <w:name w:val="annotation reference"/>
    <w:basedOn w:val="16"/>
    <w:qFormat/>
    <w:uiPriority w:val="0"/>
    <w:rPr>
      <w:sz w:val="21"/>
      <w:szCs w:val="21"/>
    </w:rPr>
  </w:style>
  <w:style w:type="paragraph" w:customStyle="1" w:styleId="21">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2">
    <w:name w:val="正文01"/>
    <w:basedOn w:val="1"/>
    <w:qFormat/>
    <w:uiPriority w:val="99"/>
    <w:pPr>
      <w:spacing w:before="60" w:line="460" w:lineRule="exact"/>
      <w:ind w:firstLine="200" w:firstLineChars="200"/>
    </w:pPr>
    <w:rPr>
      <w:sz w:val="24"/>
      <w:szCs w:val="24"/>
    </w:rPr>
  </w:style>
  <w:style w:type="paragraph" w:customStyle="1" w:styleId="23">
    <w:name w:val="普通(网站)1"/>
    <w:basedOn w:val="1"/>
    <w:qFormat/>
    <w:uiPriority w:val="0"/>
    <w:pPr>
      <w:spacing w:beforeAutospacing="1" w:afterAutospacing="1"/>
    </w:pPr>
    <w:rPr>
      <w:rFonts w:ascii="宋体" w:hAnsi="宋体" w:cs="宋体"/>
      <w:sz w:val="24"/>
      <w:szCs w:val="24"/>
    </w:rPr>
  </w:style>
  <w:style w:type="paragraph" w:customStyle="1" w:styleId="24">
    <w:name w:val="p0"/>
    <w:qFormat/>
    <w:uiPriority w:val="0"/>
    <w:rPr>
      <w:rFonts w:ascii="Times New Roman" w:hAnsi="Times New Roman" w:eastAsia="宋体" w:cs="Times New Roman"/>
      <w:szCs w:val="21"/>
      <w:lang w:val="en-US" w:eastAsia="zh-CN" w:bidi="ar-SA"/>
    </w:rPr>
  </w:style>
  <w:style w:type="character" w:customStyle="1" w:styleId="25">
    <w:name w:val="正文文本 Char"/>
    <w:basedOn w:val="16"/>
    <w:link w:val="6"/>
    <w:semiHidden/>
    <w:qFormat/>
    <w:locked/>
    <w:uiPriority w:val="99"/>
    <w:rPr>
      <w:rFonts w:ascii="Calibri" w:hAnsi="Calibri" w:cs="Calibri"/>
      <w:sz w:val="21"/>
      <w:szCs w:val="21"/>
    </w:rPr>
  </w:style>
  <w:style w:type="character" w:customStyle="1" w:styleId="26">
    <w:name w:val="批注框文本 Char"/>
    <w:basedOn w:val="16"/>
    <w:link w:val="9"/>
    <w:semiHidden/>
    <w:qFormat/>
    <w:locked/>
    <w:uiPriority w:val="99"/>
    <w:rPr>
      <w:sz w:val="18"/>
      <w:szCs w:val="18"/>
    </w:rPr>
  </w:style>
  <w:style w:type="character" w:customStyle="1" w:styleId="27">
    <w:name w:val="页眉 Char"/>
    <w:basedOn w:val="16"/>
    <w:link w:val="11"/>
    <w:qFormat/>
    <w:locked/>
    <w:uiPriority w:val="99"/>
    <w:rPr>
      <w:rFonts w:ascii="Calibri" w:hAnsi="Calibri" w:cs="Calibri"/>
      <w:kern w:val="2"/>
      <w:sz w:val="18"/>
      <w:szCs w:val="18"/>
    </w:rPr>
  </w:style>
  <w:style w:type="character" w:customStyle="1" w:styleId="28">
    <w:name w:val="页脚 Char"/>
    <w:basedOn w:val="16"/>
    <w:link w:val="10"/>
    <w:qFormat/>
    <w:locked/>
    <w:uiPriority w:val="99"/>
    <w:rPr>
      <w:rFonts w:ascii="Calibri" w:hAnsi="Calibri" w:cs="Calibri"/>
      <w:kern w:val="2"/>
      <w:sz w:val="18"/>
      <w:szCs w:val="18"/>
    </w:rPr>
  </w:style>
  <w:style w:type="character" w:customStyle="1" w:styleId="29">
    <w:name w:val="文档结构图 Char"/>
    <w:basedOn w:val="16"/>
    <w:link w:val="5"/>
    <w:semiHidden/>
    <w:qFormat/>
    <w:uiPriority w:val="99"/>
    <w:rPr>
      <w:rFonts w:ascii="宋体" w:hAnsi="Calibri" w:cs="Calibri"/>
      <w:kern w:val="2"/>
      <w:sz w:val="18"/>
      <w:szCs w:val="18"/>
    </w:rPr>
  </w:style>
  <w:style w:type="character" w:customStyle="1" w:styleId="30">
    <w:name w:val="日期 Char"/>
    <w:basedOn w:val="16"/>
    <w:link w:val="8"/>
    <w:semiHidden/>
    <w:qFormat/>
    <w:uiPriority w:val="99"/>
    <w:rPr>
      <w:rFonts w:ascii="Calibri" w:hAnsi="Calibri" w:cs="Calibri"/>
      <w:kern w:val="2"/>
      <w:sz w:val="21"/>
      <w:szCs w:val="21"/>
    </w:rPr>
  </w:style>
  <w:style w:type="paragraph" w:styleId="31">
    <w:name w:val="List Paragraph"/>
    <w:basedOn w:val="1"/>
    <w:unhideWhenUsed/>
    <w:qFormat/>
    <w:uiPriority w:val="99"/>
    <w:pPr>
      <w:ind w:firstLine="420" w:firstLineChars="200"/>
    </w:pPr>
  </w:style>
  <w:style w:type="paragraph" w:customStyle="1" w:styleId="32">
    <w:name w:val="报告表正文"/>
    <w:basedOn w:val="1"/>
    <w:qFormat/>
    <w:uiPriority w:val="99"/>
    <w:pPr>
      <w:spacing w:line="360" w:lineRule="auto"/>
      <w:ind w:firstLine="200"/>
    </w:pPr>
    <w:rPr>
      <w:szCs w:val="20"/>
      <w:lang w:val="zh-CN"/>
    </w:rPr>
  </w:style>
  <w:style w:type="paragraph" w:customStyle="1" w:styleId="3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4">
    <w:name w:val="fontstyle01"/>
    <w:basedOn w:val="16"/>
    <w:qFormat/>
    <w:uiPriority w:val="0"/>
    <w:rPr>
      <w:rFonts w:hint="eastAsia" w:ascii="宋体" w:hAnsi="宋体" w:eastAsia="宋体"/>
      <w:color w:val="000000"/>
      <w:sz w:val="24"/>
      <w:szCs w:val="24"/>
    </w:rPr>
  </w:style>
  <w:style w:type="paragraph" w:customStyle="1" w:styleId="35">
    <w:name w:val="样式3"/>
    <w:basedOn w:val="1"/>
    <w:qFormat/>
    <w:uiPriority w:val="0"/>
    <w:pPr>
      <w:widowControl/>
      <w:spacing w:line="360" w:lineRule="auto"/>
      <w:ind w:firstLine="480" w:firstLineChars="200"/>
      <w:jc w:val="left"/>
    </w:pPr>
    <w:rPr>
      <w:kern w:val="0"/>
      <w:sz w:val="24"/>
    </w:rPr>
  </w:style>
  <w:style w:type="paragraph" w:customStyle="1" w:styleId="36">
    <w:name w:val="Table Paragraph"/>
    <w:basedOn w:val="1"/>
    <w:qFormat/>
    <w:uiPriority w:val="1"/>
    <w:pPr>
      <w:jc w:val="center"/>
    </w:pPr>
    <w:rPr>
      <w:rFonts w:ascii="宋体" w:hAnsi="宋体" w:eastAsia="宋体" w:cs="宋体"/>
      <w:lang w:val="zh-CN" w:eastAsia="zh-CN" w:bidi="zh-CN"/>
    </w:rPr>
  </w:style>
  <w:style w:type="paragraph" w:customStyle="1" w:styleId="37">
    <w:name w:val="Default1"/>
    <w:basedOn w:val="38"/>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38">
    <w:name w:val="Normal_14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1477</Words>
  <Characters>1578</Characters>
  <Lines>10</Lines>
  <Paragraphs>2</Paragraphs>
  <TotalTime>0</TotalTime>
  <ScaleCrop>false</ScaleCrop>
  <LinksUpToDate>false</LinksUpToDate>
  <CharactersWithSpaces>1581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2022-12-09T06:59:57Z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5F4824CAEB8241FBB081B33254EFB6C6</vt:lpwstr>
  </property>
</Properties>
</file>