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仿宋"/>
          <w:b/>
          <w:sz w:val="32"/>
          <w:szCs w:val="32"/>
        </w:rPr>
      </w:pPr>
    </w:p>
    <w:p>
      <w:pPr>
        <w:jc w:val="center"/>
        <w:rPr>
          <w:rFonts w:ascii="仿宋" w:hAnsi="仿宋" w:eastAsia="仿宋" w:cs="仿宋"/>
          <w:b/>
          <w:sz w:val="32"/>
          <w:szCs w:val="32"/>
        </w:rPr>
      </w:pPr>
    </w:p>
    <w:p>
      <w:pPr>
        <w:pStyle w:val="2"/>
      </w:pPr>
    </w:p>
    <w:p>
      <w:pPr>
        <w:pStyle w:val="13"/>
      </w:pPr>
    </w:p>
    <w:p>
      <w:pPr>
        <w:jc w:val="center"/>
        <w:rPr>
          <w:rFonts w:hint="eastAsia" w:ascii="仿宋" w:hAnsi="仿宋" w:eastAsia="仿宋" w:cs="仿宋"/>
          <w:b/>
          <w:sz w:val="32"/>
          <w:szCs w:val="32"/>
        </w:rPr>
      </w:pPr>
      <w:r>
        <w:rPr>
          <w:rFonts w:hint="eastAsia" w:ascii="仿宋" w:hAnsi="仿宋" w:eastAsia="仿宋" w:cs="仿宋"/>
          <w:b/>
          <w:sz w:val="32"/>
          <w:szCs w:val="32"/>
        </w:rPr>
        <w:t>安徽泉生楼梯有限公司实木楼梯家具加工项目</w:t>
      </w:r>
    </w:p>
    <w:p>
      <w:pPr>
        <w:jc w:val="center"/>
        <w:rPr>
          <w:rFonts w:hint="eastAsia" w:ascii="黑体" w:hAnsi="黑体" w:eastAsia="黑体" w:cs="黑体"/>
          <w:b/>
          <w:sz w:val="52"/>
          <w:szCs w:val="52"/>
          <w:lang w:eastAsia="zh-CN"/>
        </w:rPr>
      </w:pPr>
      <w:r>
        <w:rPr>
          <w:rFonts w:hint="eastAsia" w:ascii="黑体" w:hAnsi="黑体" w:eastAsia="黑体" w:cs="黑体"/>
          <w:b/>
          <w:sz w:val="52"/>
          <w:szCs w:val="52"/>
        </w:rPr>
        <w:t>竣工环境保护验收</w:t>
      </w:r>
      <w:r>
        <w:rPr>
          <w:rFonts w:hint="eastAsia" w:ascii="黑体" w:hAnsi="黑体" w:eastAsia="黑体" w:cs="黑体"/>
          <w:b/>
          <w:sz w:val="52"/>
          <w:szCs w:val="52"/>
          <w:lang w:eastAsia="zh-CN"/>
        </w:rPr>
        <w:t>监测</w:t>
      </w:r>
      <w:r>
        <w:rPr>
          <w:rFonts w:hint="eastAsia" w:ascii="黑体" w:hAnsi="黑体" w:eastAsia="黑体" w:cs="黑体"/>
          <w:b/>
          <w:sz w:val="52"/>
          <w:szCs w:val="52"/>
        </w:rPr>
        <w:t>报告</w:t>
      </w:r>
    </w:p>
    <w:p>
      <w:pPr>
        <w:jc w:val="center"/>
        <w:rPr>
          <w:rFonts w:ascii="黑体" w:hAnsi="黑体" w:eastAsia="黑体" w:cs="黑体"/>
          <w:b/>
          <w:sz w:val="52"/>
          <w:szCs w:val="52"/>
        </w:rPr>
      </w:pPr>
    </w:p>
    <w:p>
      <w:pPr>
        <w:jc w:val="center"/>
        <w:rPr>
          <w:b/>
          <w:sz w:val="44"/>
          <w:szCs w:val="44"/>
        </w:rPr>
      </w:pPr>
    </w:p>
    <w:p>
      <w:pPr>
        <w:jc w:val="center"/>
        <w:rPr>
          <w:b/>
          <w:sz w:val="44"/>
          <w:szCs w:val="44"/>
        </w:rPr>
      </w:pPr>
    </w:p>
    <w:p>
      <w:pPr>
        <w:jc w:val="center"/>
        <w:rPr>
          <w:b/>
          <w:sz w:val="28"/>
          <w:szCs w:val="28"/>
        </w:rPr>
      </w:pPr>
    </w:p>
    <w:p>
      <w:pPr>
        <w:pStyle w:val="2"/>
        <w:rPr>
          <w:b/>
          <w:sz w:val="28"/>
          <w:szCs w:val="28"/>
        </w:rPr>
      </w:pPr>
    </w:p>
    <w:p>
      <w:pPr>
        <w:pStyle w:val="2"/>
        <w:rPr>
          <w:b/>
          <w:sz w:val="28"/>
          <w:szCs w:val="28"/>
        </w:rPr>
      </w:pPr>
    </w:p>
    <w:p>
      <w:pPr>
        <w:pStyle w:val="2"/>
        <w:rPr>
          <w:b/>
          <w:sz w:val="28"/>
          <w:szCs w:val="28"/>
        </w:rPr>
      </w:pPr>
    </w:p>
    <w:p>
      <w:pPr>
        <w:pStyle w:val="2"/>
        <w:rPr>
          <w:b/>
          <w:sz w:val="28"/>
          <w:szCs w:val="28"/>
        </w:rPr>
      </w:pPr>
    </w:p>
    <w:p>
      <w:pPr>
        <w:pStyle w:val="2"/>
        <w:rPr>
          <w:b/>
          <w:sz w:val="28"/>
          <w:szCs w:val="28"/>
        </w:rPr>
      </w:pPr>
    </w:p>
    <w:p>
      <w:pPr>
        <w:rPr>
          <w:b/>
          <w:sz w:val="28"/>
          <w:szCs w:val="28"/>
        </w:rPr>
      </w:pPr>
    </w:p>
    <w:p>
      <w:pPr>
        <w:jc w:val="center"/>
        <w:rPr>
          <w:rFonts w:hint="eastAsia" w:ascii="仿宋" w:hAnsi="仿宋" w:eastAsia="仿宋" w:cs="仿宋"/>
          <w:b/>
          <w:sz w:val="32"/>
          <w:szCs w:val="32"/>
        </w:rPr>
      </w:pPr>
      <w:r>
        <w:rPr>
          <w:rFonts w:hint="eastAsia" w:ascii="仿宋" w:hAnsi="仿宋" w:eastAsia="仿宋" w:cs="仿宋"/>
          <w:b/>
          <w:sz w:val="32"/>
          <w:szCs w:val="32"/>
        </w:rPr>
        <w:t>安徽泉生楼梯有限公司</w:t>
      </w:r>
    </w:p>
    <w:p>
      <w:pPr>
        <w:jc w:val="center"/>
        <w:rPr>
          <w:rFonts w:ascii="仿宋" w:hAnsi="仿宋" w:eastAsia="仿宋" w:cs="仿宋"/>
          <w:b/>
          <w:sz w:val="32"/>
          <w:szCs w:val="32"/>
        </w:rPr>
      </w:pPr>
      <w:r>
        <w:rPr>
          <w:rFonts w:hint="eastAsia" w:ascii="仿宋" w:hAnsi="仿宋" w:eastAsia="仿宋" w:cs="仿宋"/>
          <w:b/>
          <w:sz w:val="32"/>
          <w:szCs w:val="32"/>
        </w:rPr>
        <w:t xml:space="preserve"> 202</w:t>
      </w:r>
      <w:r>
        <w:rPr>
          <w:rFonts w:hint="eastAsia" w:ascii="仿宋" w:hAnsi="仿宋" w:eastAsia="仿宋" w:cs="仿宋"/>
          <w:b/>
          <w:sz w:val="32"/>
          <w:szCs w:val="32"/>
          <w:lang w:val="en-US" w:eastAsia="zh-CN"/>
        </w:rPr>
        <w:t>2</w:t>
      </w:r>
      <w:r>
        <w:rPr>
          <w:rFonts w:hint="eastAsia" w:ascii="仿宋" w:hAnsi="仿宋" w:eastAsia="仿宋" w:cs="仿宋"/>
          <w:b/>
          <w:sz w:val="32"/>
          <w:szCs w:val="32"/>
        </w:rPr>
        <w:t>年</w:t>
      </w:r>
      <w:r>
        <w:rPr>
          <w:rFonts w:hint="eastAsia" w:ascii="仿宋" w:hAnsi="仿宋" w:eastAsia="仿宋" w:cs="仿宋"/>
          <w:b/>
          <w:sz w:val="32"/>
          <w:szCs w:val="32"/>
          <w:lang w:val="en-US" w:eastAsia="zh-CN"/>
        </w:rPr>
        <w:t>10</w:t>
      </w:r>
      <w:r>
        <w:rPr>
          <w:rFonts w:hint="eastAsia" w:ascii="仿宋" w:hAnsi="仿宋" w:eastAsia="仿宋" w:cs="仿宋"/>
          <w:b/>
          <w:sz w:val="32"/>
          <w:szCs w:val="32"/>
        </w:rPr>
        <w:t>月</w:t>
      </w:r>
    </w:p>
    <w:p>
      <w:pPr>
        <w:jc w:val="center"/>
        <w:rPr>
          <w:b/>
          <w:sz w:val="28"/>
          <w:szCs w:val="28"/>
        </w:rPr>
      </w:pPr>
    </w:p>
    <w:p>
      <w:pPr>
        <w:jc w:val="center"/>
        <w:rPr>
          <w:b/>
          <w:sz w:val="28"/>
          <w:szCs w:val="28"/>
        </w:rPr>
      </w:pPr>
    </w:p>
    <w:p>
      <w:pPr>
        <w:widowControl/>
        <w:jc w:val="left"/>
        <w:rPr>
          <w:b/>
          <w:sz w:val="28"/>
          <w:szCs w:val="28"/>
        </w:rPr>
      </w:pPr>
    </w:p>
    <w:p>
      <w:pPr>
        <w:widowControl/>
        <w:jc w:val="left"/>
        <w:rPr>
          <w:b/>
          <w:sz w:val="28"/>
          <w:szCs w:val="28"/>
        </w:rPr>
      </w:pPr>
    </w:p>
    <w:p>
      <w:pPr>
        <w:widowControl/>
        <w:jc w:val="left"/>
        <w:rPr>
          <w:rFonts w:hint="eastAsia"/>
          <w:b/>
          <w:sz w:val="28"/>
          <w:szCs w:val="28"/>
        </w:rPr>
      </w:pPr>
      <w:r>
        <w:rPr>
          <w:rFonts w:hint="eastAsia"/>
          <w:b/>
          <w:sz w:val="28"/>
          <w:szCs w:val="28"/>
        </w:rPr>
        <w:t>编制单位法人代表：            （签字）</w:t>
      </w:r>
    </w:p>
    <w:p>
      <w:pPr>
        <w:widowControl/>
        <w:jc w:val="left"/>
        <w:rPr>
          <w:b/>
          <w:sz w:val="28"/>
          <w:szCs w:val="28"/>
        </w:rPr>
      </w:pPr>
      <w:r>
        <w:rPr>
          <w:rFonts w:hint="eastAsia"/>
          <w:b/>
          <w:sz w:val="28"/>
          <w:szCs w:val="28"/>
        </w:rPr>
        <w:t>项目负责人：</w:t>
      </w:r>
    </w:p>
    <w:p>
      <w:pPr>
        <w:widowControl/>
        <w:jc w:val="left"/>
        <w:rPr>
          <w:rFonts w:hint="eastAsia" w:eastAsiaTheme="minorEastAsia"/>
          <w:b/>
          <w:sz w:val="28"/>
          <w:szCs w:val="28"/>
          <w:lang w:val="en-US" w:eastAsia="zh-CN"/>
        </w:rPr>
      </w:pPr>
      <w:r>
        <w:rPr>
          <w:rFonts w:hint="eastAsia"/>
          <w:b/>
          <w:sz w:val="28"/>
          <w:szCs w:val="28"/>
          <w:lang w:val="en-US" w:eastAsia="zh-CN"/>
        </w:rPr>
        <w:t xml:space="preserve"> </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tbl>
      <w:tblPr>
        <w:tblStyle w:val="21"/>
        <w:tblpPr w:leftFromText="180" w:rightFromText="180" w:vertAnchor="text" w:horzAnchor="page" w:tblpX="1141" w:tblpY="627"/>
        <w:tblOverlap w:val="never"/>
        <w:tblW w:w="10142" w:type="dxa"/>
        <w:tblInd w:w="0" w:type="dxa"/>
        <w:tblLayout w:type="fixed"/>
        <w:tblCellMar>
          <w:top w:w="0" w:type="dxa"/>
          <w:left w:w="108" w:type="dxa"/>
          <w:bottom w:w="0" w:type="dxa"/>
          <w:right w:w="108" w:type="dxa"/>
        </w:tblCellMar>
      </w:tblPr>
      <w:tblGrid>
        <w:gridCol w:w="10142"/>
      </w:tblGrid>
      <w:tr>
        <w:tblPrEx>
          <w:tblCellMar>
            <w:top w:w="0" w:type="dxa"/>
            <w:left w:w="108" w:type="dxa"/>
            <w:bottom w:w="0" w:type="dxa"/>
            <w:right w:w="108" w:type="dxa"/>
          </w:tblCellMar>
        </w:tblPrEx>
        <w:trPr>
          <w:trHeight w:val="644" w:hRule="atLeast"/>
        </w:trPr>
        <w:tc>
          <w:tcPr>
            <w:tcW w:w="10142" w:type="dxa"/>
          </w:tcPr>
          <w:p>
            <w:pPr>
              <w:rPr>
                <w:b/>
                <w:sz w:val="28"/>
                <w:szCs w:val="28"/>
              </w:rPr>
            </w:pPr>
            <w:r>
              <w:rPr>
                <w:rFonts w:hint="eastAsia"/>
                <w:b/>
                <w:sz w:val="28"/>
                <w:szCs w:val="28"/>
              </w:rPr>
              <w:t>建设单位：</w:t>
            </w:r>
            <w:r>
              <w:rPr>
                <w:rFonts w:hint="eastAsia"/>
                <w:b w:val="0"/>
                <w:bCs/>
                <w:sz w:val="28"/>
                <w:szCs w:val="28"/>
              </w:rPr>
              <w:t>安徽泉生楼梯有限公司</w:t>
            </w:r>
          </w:p>
        </w:tc>
      </w:tr>
      <w:tr>
        <w:tblPrEx>
          <w:tblCellMar>
            <w:top w:w="0" w:type="dxa"/>
            <w:left w:w="108" w:type="dxa"/>
            <w:bottom w:w="0" w:type="dxa"/>
            <w:right w:w="108" w:type="dxa"/>
          </w:tblCellMar>
        </w:tblPrEx>
        <w:trPr>
          <w:trHeight w:val="90" w:hRule="atLeast"/>
        </w:trPr>
        <w:tc>
          <w:tcPr>
            <w:tcW w:w="10142" w:type="dxa"/>
          </w:tcPr>
          <w:p>
            <w:pPr>
              <w:widowControl/>
              <w:jc w:val="left"/>
              <w:rPr>
                <w:rFonts w:hint="default" w:eastAsiaTheme="minorEastAsia"/>
                <w:b/>
                <w:sz w:val="28"/>
                <w:szCs w:val="28"/>
                <w:lang w:val="en-US" w:eastAsia="zh-CN"/>
              </w:rPr>
            </w:pPr>
            <w:r>
              <w:rPr>
                <w:rFonts w:hint="eastAsia"/>
                <w:b/>
                <w:sz w:val="28"/>
                <w:szCs w:val="28"/>
              </w:rPr>
              <w:t>电话：</w:t>
            </w:r>
            <w:r>
              <w:rPr>
                <w:rFonts w:hint="eastAsia"/>
                <w:b w:val="0"/>
                <w:bCs/>
                <w:sz w:val="28"/>
                <w:szCs w:val="28"/>
              </w:rPr>
              <w:t>13359011699</w:t>
            </w:r>
          </w:p>
        </w:tc>
      </w:tr>
      <w:tr>
        <w:tblPrEx>
          <w:tblCellMar>
            <w:top w:w="0" w:type="dxa"/>
            <w:left w:w="108" w:type="dxa"/>
            <w:bottom w:w="0" w:type="dxa"/>
            <w:right w:w="108" w:type="dxa"/>
          </w:tblCellMar>
        </w:tblPrEx>
        <w:trPr>
          <w:trHeight w:val="630" w:hRule="atLeast"/>
        </w:trPr>
        <w:tc>
          <w:tcPr>
            <w:tcW w:w="10142" w:type="dxa"/>
          </w:tcPr>
          <w:p>
            <w:pPr>
              <w:widowControl/>
              <w:jc w:val="left"/>
              <w:rPr>
                <w:b/>
                <w:sz w:val="28"/>
                <w:szCs w:val="28"/>
              </w:rPr>
            </w:pPr>
            <w:r>
              <w:rPr>
                <w:rFonts w:hint="eastAsia"/>
                <w:b/>
                <w:sz w:val="28"/>
                <w:szCs w:val="28"/>
              </w:rPr>
              <w:t>传真：</w:t>
            </w:r>
            <w:r>
              <w:rPr>
                <w:rFonts w:hint="eastAsia"/>
                <w:b/>
                <w:sz w:val="24"/>
              </w:rPr>
              <w:t>/</w:t>
            </w:r>
          </w:p>
        </w:tc>
      </w:tr>
      <w:tr>
        <w:tblPrEx>
          <w:tblCellMar>
            <w:top w:w="0" w:type="dxa"/>
            <w:left w:w="108" w:type="dxa"/>
            <w:bottom w:w="0" w:type="dxa"/>
            <w:right w:w="108" w:type="dxa"/>
          </w:tblCellMar>
        </w:tblPrEx>
        <w:trPr>
          <w:trHeight w:val="630" w:hRule="atLeast"/>
        </w:trPr>
        <w:tc>
          <w:tcPr>
            <w:tcW w:w="10142" w:type="dxa"/>
          </w:tcPr>
          <w:p>
            <w:pPr>
              <w:widowControl/>
              <w:jc w:val="left"/>
              <w:rPr>
                <w:rFonts w:hint="default" w:eastAsiaTheme="minorEastAsia"/>
                <w:b/>
                <w:sz w:val="28"/>
                <w:szCs w:val="28"/>
                <w:lang w:val="en-US" w:eastAsia="zh-CN"/>
              </w:rPr>
            </w:pPr>
            <w:r>
              <w:rPr>
                <w:rFonts w:hint="eastAsia"/>
                <w:b/>
                <w:sz w:val="28"/>
                <w:szCs w:val="28"/>
              </w:rPr>
              <w:t>邮编：</w:t>
            </w:r>
            <w:r>
              <w:rPr>
                <w:rFonts w:hint="eastAsia"/>
                <w:bCs/>
                <w:sz w:val="28"/>
                <w:szCs w:val="28"/>
              </w:rPr>
              <w:t>23</w:t>
            </w:r>
            <w:r>
              <w:rPr>
                <w:rFonts w:hint="eastAsia"/>
                <w:bCs/>
                <w:sz w:val="28"/>
                <w:szCs w:val="28"/>
                <w:lang w:val="en-US" w:eastAsia="zh-CN"/>
              </w:rPr>
              <w:t>1300</w:t>
            </w:r>
          </w:p>
        </w:tc>
      </w:tr>
      <w:tr>
        <w:tblPrEx>
          <w:tblCellMar>
            <w:top w:w="0" w:type="dxa"/>
            <w:left w:w="108" w:type="dxa"/>
            <w:bottom w:w="0" w:type="dxa"/>
            <w:right w:w="108" w:type="dxa"/>
          </w:tblCellMar>
        </w:tblPrEx>
        <w:trPr>
          <w:trHeight w:val="946" w:hRule="atLeast"/>
        </w:trPr>
        <w:tc>
          <w:tcPr>
            <w:tcW w:w="10142" w:type="dxa"/>
          </w:tcPr>
          <w:p>
            <w:pPr>
              <w:widowControl/>
              <w:jc w:val="left"/>
              <w:rPr>
                <w:rFonts w:hint="eastAsia" w:eastAsiaTheme="minorEastAsia"/>
                <w:b/>
                <w:sz w:val="28"/>
                <w:szCs w:val="28"/>
                <w:lang w:eastAsia="zh-CN"/>
              </w:rPr>
            </w:pPr>
            <w:r>
              <w:rPr>
                <w:rFonts w:hint="eastAsia"/>
                <w:b/>
                <w:sz w:val="28"/>
                <w:szCs w:val="28"/>
              </w:rPr>
              <w:t>地址：</w:t>
            </w:r>
            <w:r>
              <w:rPr>
                <w:rFonts w:hint="eastAsia"/>
                <w:b w:val="0"/>
                <w:bCs/>
                <w:sz w:val="28"/>
                <w:szCs w:val="28"/>
              </w:rPr>
              <w:t>安徽省六安市舒城县棠树乡凌西路舒城友源电子科技有限公司院内1幢</w:t>
            </w:r>
          </w:p>
        </w:tc>
      </w:tr>
    </w:tbl>
    <w:p>
      <w:pPr>
        <w:widowControl/>
        <w:jc w:val="left"/>
        <w:rPr>
          <w:b/>
          <w:sz w:val="28"/>
          <w:szCs w:val="28"/>
        </w:rPr>
        <w:sectPr>
          <w:pgSz w:w="11906" w:h="16838"/>
          <w:pgMar w:top="1440" w:right="1417" w:bottom="1440" w:left="1417" w:header="851" w:footer="992" w:gutter="0"/>
          <w:cols w:space="0" w:num="1"/>
          <w:docGrid w:type="lines" w:linePitch="312" w:charSpace="0"/>
        </w:sectPr>
      </w:pPr>
    </w:p>
    <w:p>
      <w:pPr>
        <w:widowControl/>
        <w:jc w:val="left"/>
        <w:rPr>
          <w:b/>
          <w:sz w:val="28"/>
          <w:szCs w:val="28"/>
        </w:rPr>
      </w:pPr>
      <w:r>
        <w:rPr>
          <w:rFonts w:hint="eastAsia"/>
          <w:b/>
          <w:sz w:val="28"/>
          <w:szCs w:val="28"/>
        </w:rPr>
        <w:t>表一</w:t>
      </w:r>
    </w:p>
    <w:tbl>
      <w:tblPr>
        <w:tblStyle w:val="21"/>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9"/>
        <w:gridCol w:w="2318"/>
        <w:gridCol w:w="2702"/>
        <w:gridCol w:w="1491"/>
        <w:gridCol w:w="21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70" w:type="dxa"/>
            <w:vAlign w:val="center"/>
          </w:tcPr>
          <w:p>
            <w:pPr>
              <w:widowControl/>
              <w:spacing w:line="240" w:lineRule="auto"/>
              <w:jc w:val="center"/>
              <w:rPr>
                <w:sz w:val="24"/>
              </w:rPr>
            </w:pPr>
            <w:r>
              <w:rPr>
                <w:rFonts w:hint="eastAsia"/>
                <w:sz w:val="24"/>
              </w:rPr>
              <w:t>建设项目名称</w:t>
            </w:r>
          </w:p>
        </w:tc>
        <w:tc>
          <w:tcPr>
            <w:tcW w:w="8195" w:type="dxa"/>
            <w:gridSpan w:val="4"/>
            <w:vAlign w:val="center"/>
          </w:tcPr>
          <w:p>
            <w:pPr>
              <w:spacing w:line="240" w:lineRule="auto"/>
              <w:jc w:val="center"/>
              <w:rPr>
                <w:rFonts w:eastAsia="宋体"/>
                <w:sz w:val="24"/>
              </w:rPr>
            </w:pPr>
            <w:r>
              <w:rPr>
                <w:rFonts w:hint="eastAsia"/>
                <w:sz w:val="24"/>
              </w:rPr>
              <w:t>实木楼梯家具加工</w:t>
            </w:r>
            <w:r>
              <w:rPr>
                <w:sz w:val="24"/>
              </w:rPr>
              <w:t>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70" w:type="dxa"/>
            <w:vAlign w:val="center"/>
          </w:tcPr>
          <w:p>
            <w:pPr>
              <w:widowControl/>
              <w:spacing w:line="240" w:lineRule="auto"/>
              <w:jc w:val="center"/>
              <w:rPr>
                <w:sz w:val="24"/>
              </w:rPr>
            </w:pPr>
            <w:r>
              <w:rPr>
                <w:rFonts w:hint="eastAsia"/>
                <w:sz w:val="24"/>
              </w:rPr>
              <w:t>建设单位名称</w:t>
            </w:r>
          </w:p>
        </w:tc>
        <w:tc>
          <w:tcPr>
            <w:tcW w:w="8195" w:type="dxa"/>
            <w:gridSpan w:val="4"/>
            <w:vAlign w:val="center"/>
          </w:tcPr>
          <w:p>
            <w:pPr>
              <w:spacing w:line="240" w:lineRule="auto"/>
              <w:jc w:val="center"/>
              <w:rPr>
                <w:sz w:val="24"/>
              </w:rPr>
            </w:pPr>
            <w:r>
              <w:rPr>
                <w:rFonts w:hint="eastAsia"/>
                <w:sz w:val="24"/>
              </w:rPr>
              <w:t>安徽泉生楼梯有限公司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70" w:type="dxa"/>
            <w:vAlign w:val="center"/>
          </w:tcPr>
          <w:p>
            <w:pPr>
              <w:widowControl/>
              <w:spacing w:line="240" w:lineRule="auto"/>
              <w:jc w:val="center"/>
              <w:rPr>
                <w:sz w:val="24"/>
              </w:rPr>
            </w:pPr>
            <w:r>
              <w:rPr>
                <w:rFonts w:hint="eastAsia"/>
                <w:sz w:val="24"/>
              </w:rPr>
              <w:t>建设项目性质</w:t>
            </w:r>
          </w:p>
        </w:tc>
        <w:tc>
          <w:tcPr>
            <w:tcW w:w="8195" w:type="dxa"/>
            <w:gridSpan w:val="4"/>
            <w:vAlign w:val="center"/>
          </w:tcPr>
          <w:p>
            <w:pPr>
              <w:widowControl/>
              <w:spacing w:line="240" w:lineRule="auto"/>
              <w:jc w:val="center"/>
              <w:rPr>
                <w:sz w:val="24"/>
              </w:rPr>
            </w:pPr>
            <w:r>
              <w:rPr>
                <w:rFonts w:hint="eastAsia"/>
                <w:sz w:val="24"/>
              </w:rPr>
              <w:t xml:space="preserve">●新建（迁建）  改扩建  </w:t>
            </w:r>
            <w:r>
              <w:rPr>
                <w:rFonts w:hint="eastAsia"/>
                <w:sz w:val="24"/>
                <w:lang w:val="en-US" w:eastAsia="zh-CN"/>
              </w:rPr>
              <w:t xml:space="preserve"> </w:t>
            </w:r>
            <w:r>
              <w:rPr>
                <w:rFonts w:hint="eastAsia"/>
                <w:sz w:val="24"/>
              </w:rPr>
              <w:t xml:space="preserve">技改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1270" w:type="dxa"/>
            <w:vAlign w:val="center"/>
          </w:tcPr>
          <w:p>
            <w:pPr>
              <w:widowControl/>
              <w:spacing w:line="240" w:lineRule="auto"/>
              <w:jc w:val="center"/>
              <w:rPr>
                <w:rFonts w:hint="eastAsia"/>
                <w:sz w:val="24"/>
              </w:rPr>
            </w:pPr>
            <w:r>
              <w:rPr>
                <w:rFonts w:hint="eastAsia"/>
                <w:sz w:val="24"/>
              </w:rPr>
              <w:t>建设</w:t>
            </w:r>
          </w:p>
          <w:p>
            <w:pPr>
              <w:widowControl/>
              <w:spacing w:line="240" w:lineRule="auto"/>
              <w:jc w:val="center"/>
              <w:rPr>
                <w:sz w:val="24"/>
              </w:rPr>
            </w:pPr>
            <w:r>
              <w:rPr>
                <w:rFonts w:hint="eastAsia"/>
                <w:sz w:val="24"/>
              </w:rPr>
              <w:t>地点</w:t>
            </w:r>
          </w:p>
        </w:tc>
        <w:tc>
          <w:tcPr>
            <w:tcW w:w="8195" w:type="dxa"/>
            <w:gridSpan w:val="4"/>
            <w:vAlign w:val="center"/>
          </w:tcPr>
          <w:p>
            <w:pPr>
              <w:widowControl/>
              <w:spacing w:line="240" w:lineRule="auto"/>
              <w:jc w:val="center"/>
              <w:rPr>
                <w:rFonts w:hint="eastAsia" w:eastAsia="宋体"/>
                <w:sz w:val="24"/>
                <w:lang w:eastAsia="zh-CN"/>
              </w:rPr>
            </w:pPr>
            <w:r>
              <w:rPr>
                <w:sz w:val="24"/>
                <w:u w:val="none"/>
              </w:rPr>
              <w:t>安徽省六安市舒城县</w:t>
            </w:r>
            <w:r>
              <w:rPr>
                <w:rFonts w:hint="eastAsia"/>
                <w:sz w:val="24"/>
                <w:u w:val="none"/>
              </w:rPr>
              <w:t>棠树乡凌西路舒城友源电子科技有限公司院内1幢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 w:hRule="atLeast"/>
          <w:jc w:val="center"/>
        </w:trPr>
        <w:tc>
          <w:tcPr>
            <w:tcW w:w="1270" w:type="dxa"/>
            <w:vAlign w:val="center"/>
          </w:tcPr>
          <w:p>
            <w:pPr>
              <w:widowControl/>
              <w:spacing w:line="240" w:lineRule="auto"/>
              <w:jc w:val="center"/>
              <w:rPr>
                <w:sz w:val="24"/>
              </w:rPr>
            </w:pPr>
            <w:r>
              <w:rPr>
                <w:rFonts w:hint="eastAsia"/>
                <w:sz w:val="24"/>
              </w:rPr>
              <w:t>主要产品名称</w:t>
            </w:r>
          </w:p>
        </w:tc>
        <w:tc>
          <w:tcPr>
            <w:tcW w:w="8195" w:type="dxa"/>
            <w:gridSpan w:val="4"/>
            <w:vAlign w:val="center"/>
          </w:tcPr>
          <w:p>
            <w:pPr>
              <w:widowControl/>
              <w:spacing w:line="240" w:lineRule="auto"/>
              <w:jc w:val="center"/>
              <w:rPr>
                <w:rFonts w:hint="eastAsia" w:eastAsia="宋体"/>
                <w:sz w:val="24"/>
                <w:lang w:val="en-US" w:eastAsia="zh-CN"/>
              </w:rPr>
            </w:pPr>
            <w:r>
              <w:rPr>
                <w:rFonts w:hint="eastAsia" w:eastAsia="宋体"/>
                <w:sz w:val="24"/>
                <w:lang w:val="en-US" w:eastAsia="zh-CN"/>
              </w:rPr>
              <w:t>实木楼梯、实木护栏、配套家具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270" w:type="dxa"/>
            <w:vAlign w:val="center"/>
          </w:tcPr>
          <w:p>
            <w:pPr>
              <w:widowControl/>
              <w:spacing w:line="240" w:lineRule="auto"/>
              <w:jc w:val="center"/>
              <w:rPr>
                <w:sz w:val="24"/>
              </w:rPr>
            </w:pPr>
            <w:r>
              <w:rPr>
                <w:rFonts w:hint="eastAsia"/>
                <w:sz w:val="24"/>
              </w:rPr>
              <w:t>设计生产能力</w:t>
            </w:r>
          </w:p>
        </w:tc>
        <w:tc>
          <w:tcPr>
            <w:tcW w:w="8195" w:type="dxa"/>
            <w:gridSpan w:val="4"/>
            <w:vAlign w:val="center"/>
          </w:tcPr>
          <w:p>
            <w:pPr>
              <w:widowControl/>
              <w:spacing w:line="240" w:lineRule="auto"/>
              <w:jc w:val="center"/>
              <w:rPr>
                <w:rFonts w:hint="default" w:eastAsia="宋体"/>
                <w:sz w:val="24"/>
                <w:lang w:val="en-US" w:eastAsia="zh-CN"/>
              </w:rPr>
            </w:pPr>
            <w:r>
              <w:rPr>
                <w:rFonts w:hint="eastAsia" w:eastAsia="宋体"/>
                <w:sz w:val="24"/>
                <w:lang w:val="en-US" w:eastAsia="zh-CN"/>
              </w:rPr>
              <w:t>年生产实木楼梯200套、实木护栏150套、配套家具80套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270" w:type="dxa"/>
            <w:vAlign w:val="center"/>
          </w:tcPr>
          <w:p>
            <w:pPr>
              <w:widowControl/>
              <w:spacing w:line="240" w:lineRule="auto"/>
              <w:jc w:val="center"/>
              <w:rPr>
                <w:color w:val="FF0000"/>
                <w:sz w:val="24"/>
              </w:rPr>
            </w:pPr>
            <w:r>
              <w:rPr>
                <w:rFonts w:hint="eastAsia"/>
                <w:color w:val="000000" w:themeColor="text1"/>
                <w:sz w:val="24"/>
                <w14:textFill>
                  <w14:solidFill>
                    <w14:schemeClr w14:val="tx1"/>
                  </w14:solidFill>
                </w14:textFill>
              </w:rPr>
              <w:t>实际生产能力</w:t>
            </w:r>
          </w:p>
        </w:tc>
        <w:tc>
          <w:tcPr>
            <w:tcW w:w="8195" w:type="dxa"/>
            <w:gridSpan w:val="4"/>
            <w:vAlign w:val="center"/>
          </w:tcPr>
          <w:p>
            <w:pPr>
              <w:widowControl/>
              <w:spacing w:line="240" w:lineRule="auto"/>
              <w:jc w:val="center"/>
              <w:rPr>
                <w:color w:val="FF0000"/>
                <w:sz w:val="24"/>
              </w:rPr>
            </w:pPr>
            <w:r>
              <w:rPr>
                <w:rFonts w:hint="eastAsia" w:eastAsia="宋体"/>
                <w:sz w:val="24"/>
                <w:lang w:val="en-US" w:eastAsia="zh-CN"/>
              </w:rPr>
              <w:t>年生产实木楼梯200套、实木护栏150套、配套家具80套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270" w:type="dxa"/>
            <w:vAlign w:val="center"/>
          </w:tcPr>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建设项目环评时间</w:t>
            </w:r>
          </w:p>
        </w:tc>
        <w:tc>
          <w:tcPr>
            <w:tcW w:w="2127" w:type="dxa"/>
            <w:vAlign w:val="center"/>
          </w:tcPr>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21</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10月</w:t>
            </w:r>
          </w:p>
        </w:tc>
        <w:tc>
          <w:tcPr>
            <w:tcW w:w="2596" w:type="dxa"/>
            <w:vAlign w:val="center"/>
          </w:tcPr>
          <w:p>
            <w:pPr>
              <w:widowControl/>
              <w:spacing w:line="240" w:lineRule="auto"/>
              <w:jc w:val="center"/>
              <w:rPr>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开工建设时间</w:t>
            </w:r>
          </w:p>
        </w:tc>
        <w:tc>
          <w:tcPr>
            <w:tcW w:w="3472" w:type="dxa"/>
            <w:gridSpan w:val="2"/>
            <w:vAlign w:val="center"/>
          </w:tcPr>
          <w:p>
            <w:pPr>
              <w:widowControl/>
              <w:spacing w:line="240" w:lineRule="auto"/>
              <w:jc w:val="center"/>
              <w:rPr>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20</w:t>
            </w:r>
            <w:r>
              <w:rPr>
                <w:rFonts w:hint="eastAsia"/>
                <w:b w:val="0"/>
                <w:bCs w:val="0"/>
                <w:color w:val="000000" w:themeColor="text1"/>
                <w:sz w:val="24"/>
                <w:lang w:val="en-US" w:eastAsia="zh-CN"/>
                <w14:textFill>
                  <w14:solidFill>
                    <w14:schemeClr w14:val="tx1"/>
                  </w14:solidFill>
                </w14:textFill>
              </w:rPr>
              <w:t>21</w:t>
            </w:r>
            <w:r>
              <w:rPr>
                <w:rFonts w:hint="eastAsia"/>
                <w:b w:val="0"/>
                <w:bCs w:val="0"/>
                <w:color w:val="000000" w:themeColor="text1"/>
                <w:sz w:val="24"/>
                <w14:textFill>
                  <w14:solidFill>
                    <w14:schemeClr w14:val="tx1"/>
                  </w14:solidFill>
                </w14:textFill>
              </w:rPr>
              <w:t>年</w:t>
            </w:r>
            <w:r>
              <w:rPr>
                <w:rFonts w:hint="eastAsia"/>
                <w:b w:val="0"/>
                <w:bCs w:val="0"/>
                <w:color w:val="000000" w:themeColor="text1"/>
                <w:sz w:val="24"/>
                <w:lang w:val="en-US" w:eastAsia="zh-CN"/>
                <w14:textFill>
                  <w14:solidFill>
                    <w14:schemeClr w14:val="tx1"/>
                  </w14:solidFill>
                </w14:textFill>
              </w:rPr>
              <w:t>11</w:t>
            </w:r>
            <w:r>
              <w:rPr>
                <w:rFonts w:hint="eastAsia"/>
                <w:b w:val="0"/>
                <w:bCs w:val="0"/>
                <w:color w:val="000000" w:themeColor="text1"/>
                <w:sz w:val="24"/>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70" w:type="dxa"/>
            <w:vAlign w:val="center"/>
          </w:tcPr>
          <w:p>
            <w:pPr>
              <w:widowControl/>
              <w:spacing w:line="240" w:lineRule="auto"/>
              <w:jc w:val="cente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调试</w:t>
            </w:r>
          </w:p>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时间</w:t>
            </w:r>
          </w:p>
        </w:tc>
        <w:tc>
          <w:tcPr>
            <w:tcW w:w="2127" w:type="dxa"/>
            <w:vAlign w:val="center"/>
          </w:tcPr>
          <w:p>
            <w:pPr>
              <w:widowControl/>
              <w:spacing w:line="240" w:lineRule="auto"/>
              <w:jc w:val="center"/>
              <w:rPr>
                <w:rFonts w:hint="default"/>
                <w:color w:val="000000" w:themeColor="text1"/>
                <w:sz w:val="24"/>
                <w:lang w:val="en-US"/>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-3月</w:t>
            </w:r>
          </w:p>
        </w:tc>
        <w:tc>
          <w:tcPr>
            <w:tcW w:w="2596" w:type="dxa"/>
            <w:vAlign w:val="center"/>
          </w:tcPr>
          <w:p>
            <w:pPr>
              <w:widowControl/>
              <w:spacing w:line="240" w:lineRule="auto"/>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验收现场监测时间</w:t>
            </w:r>
          </w:p>
        </w:tc>
        <w:tc>
          <w:tcPr>
            <w:tcW w:w="3472" w:type="dxa"/>
            <w:gridSpan w:val="2"/>
            <w:vAlign w:val="center"/>
          </w:tcPr>
          <w:p>
            <w:pPr>
              <w:widowControl/>
              <w:spacing w:line="240" w:lineRule="auto"/>
              <w:jc w:val="center"/>
              <w:rPr>
                <w:rFonts w:hint="eastAsia" w:eastAsiaTheme="minorEastAsia"/>
                <w:color w:val="000000" w:themeColor="text1"/>
                <w:sz w:val="24"/>
                <w:highlight w:val="none"/>
                <w:lang w:val="en-US" w:eastAsia="zh-CN"/>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202</w:t>
            </w:r>
            <w:r>
              <w:rPr>
                <w:rFonts w:hint="eastAsia"/>
                <w:b w:val="0"/>
                <w:bCs w:val="0"/>
                <w:color w:val="000000" w:themeColor="text1"/>
                <w:sz w:val="24"/>
                <w:highlight w:val="none"/>
                <w:lang w:val="en-US" w:eastAsia="zh-CN"/>
                <w14:textFill>
                  <w14:solidFill>
                    <w14:schemeClr w14:val="tx1"/>
                  </w14:solidFill>
                </w14:textFill>
              </w:rPr>
              <w:t>2</w:t>
            </w:r>
            <w:r>
              <w:rPr>
                <w:rFonts w:hint="eastAsia"/>
                <w:b w:val="0"/>
                <w:bCs w:val="0"/>
                <w:color w:val="000000" w:themeColor="text1"/>
                <w:sz w:val="24"/>
                <w:highlight w:val="none"/>
                <w14:textFill>
                  <w14:solidFill>
                    <w14:schemeClr w14:val="tx1"/>
                  </w14:solidFill>
                </w14:textFill>
              </w:rPr>
              <w:t>年</w:t>
            </w:r>
            <w:r>
              <w:rPr>
                <w:rFonts w:hint="eastAsia"/>
                <w:b w:val="0"/>
                <w:bCs w:val="0"/>
                <w:color w:val="000000" w:themeColor="text1"/>
                <w:sz w:val="24"/>
                <w:highlight w:val="none"/>
                <w:lang w:val="en-US" w:eastAsia="zh-CN"/>
                <w14:textFill>
                  <w14:solidFill>
                    <w14:schemeClr w14:val="tx1"/>
                  </w14:solidFill>
                </w14:textFill>
              </w:rPr>
              <w:t>3</w:t>
            </w:r>
            <w:r>
              <w:rPr>
                <w:rFonts w:hint="eastAsia"/>
                <w:b w:val="0"/>
                <w:bCs w:val="0"/>
                <w:color w:val="000000" w:themeColor="text1"/>
                <w:sz w:val="24"/>
                <w:highlight w:val="none"/>
                <w14:textFill>
                  <w14:solidFill>
                    <w14:schemeClr w14:val="tx1"/>
                  </w14:solidFill>
                </w14:textFill>
              </w:rPr>
              <w:t>月</w:t>
            </w:r>
            <w:r>
              <w:rPr>
                <w:rFonts w:hint="eastAsia"/>
                <w:b w:val="0"/>
                <w:bCs w:val="0"/>
                <w:color w:val="000000" w:themeColor="text1"/>
                <w:sz w:val="24"/>
                <w:highlight w:val="none"/>
                <w:lang w:val="en-US" w:eastAsia="zh-CN"/>
                <w14:textFill>
                  <w14:solidFill>
                    <w14:schemeClr w14:val="tx1"/>
                  </w14:solidFill>
                </w14:textFill>
              </w:rPr>
              <w:t>8</w:t>
            </w:r>
            <w:r>
              <w:rPr>
                <w:rFonts w:hint="eastAsia"/>
                <w:b w:val="0"/>
                <w:bCs w:val="0"/>
                <w:color w:val="000000" w:themeColor="text1"/>
                <w:sz w:val="24"/>
                <w:highlight w:val="none"/>
                <w14:textFill>
                  <w14:solidFill>
                    <w14:schemeClr w14:val="tx1"/>
                  </w14:solidFill>
                </w14:textFill>
              </w:rPr>
              <w:t>日</w:t>
            </w:r>
            <w:r>
              <w:rPr>
                <w:rFonts w:hint="eastAsia"/>
                <w:b w:val="0"/>
                <w:bCs w:val="0"/>
                <w:color w:val="000000" w:themeColor="text1"/>
                <w:sz w:val="24"/>
                <w:highlight w:val="none"/>
                <w:lang w:val="en-US" w:eastAsia="zh-CN"/>
                <w14:textFill>
                  <w14:solidFill>
                    <w14:schemeClr w14:val="tx1"/>
                  </w14:solidFill>
                </w14:textFill>
              </w:rPr>
              <w:t>-9日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jc w:val="center"/>
        </w:trPr>
        <w:tc>
          <w:tcPr>
            <w:tcW w:w="1270" w:type="dxa"/>
            <w:vAlign w:val="center"/>
          </w:tcPr>
          <w:p>
            <w:pPr>
              <w:widowControl/>
              <w:spacing w:line="240" w:lineRule="auto"/>
              <w:jc w:val="center"/>
              <w:rPr>
                <w:rFonts w:hint="eastAsia"/>
                <w:sz w:val="24"/>
              </w:rPr>
            </w:pPr>
            <w:r>
              <w:rPr>
                <w:rFonts w:hint="eastAsia"/>
                <w:sz w:val="24"/>
              </w:rPr>
              <w:t>环评报告表审批</w:t>
            </w:r>
          </w:p>
          <w:p>
            <w:pPr>
              <w:widowControl/>
              <w:spacing w:line="240" w:lineRule="auto"/>
              <w:jc w:val="center"/>
              <w:rPr>
                <w:sz w:val="24"/>
              </w:rPr>
            </w:pPr>
            <w:r>
              <w:rPr>
                <w:rFonts w:hint="eastAsia"/>
                <w:sz w:val="24"/>
              </w:rPr>
              <w:t>部门</w:t>
            </w:r>
          </w:p>
        </w:tc>
        <w:tc>
          <w:tcPr>
            <w:tcW w:w="2127" w:type="dxa"/>
            <w:vAlign w:val="center"/>
          </w:tcPr>
          <w:p>
            <w:pPr>
              <w:widowControl/>
              <w:spacing w:line="240" w:lineRule="auto"/>
              <w:jc w:val="center"/>
              <w:rPr>
                <w:rFonts w:hint="eastAsia" w:eastAsia="宋体"/>
                <w:sz w:val="24"/>
                <w:lang w:eastAsia="zh-CN"/>
              </w:rPr>
            </w:pPr>
            <w:r>
              <w:rPr>
                <w:rFonts w:hint="eastAsia" w:eastAsia="宋体"/>
                <w:sz w:val="24"/>
                <w:lang w:eastAsia="zh-CN"/>
              </w:rPr>
              <w:t>六安市舒城县生态环境分局</w:t>
            </w:r>
          </w:p>
        </w:tc>
        <w:tc>
          <w:tcPr>
            <w:tcW w:w="2596" w:type="dxa"/>
            <w:vAlign w:val="center"/>
          </w:tcPr>
          <w:p>
            <w:pPr>
              <w:widowControl/>
              <w:spacing w:line="240" w:lineRule="auto"/>
              <w:jc w:val="center"/>
              <w:rPr>
                <w:sz w:val="24"/>
              </w:rPr>
            </w:pPr>
            <w:r>
              <w:rPr>
                <w:rFonts w:hint="eastAsia"/>
                <w:sz w:val="24"/>
              </w:rPr>
              <w:t>环评报告表</w:t>
            </w:r>
          </w:p>
          <w:p>
            <w:pPr>
              <w:widowControl/>
              <w:spacing w:line="240" w:lineRule="auto"/>
              <w:jc w:val="center"/>
              <w:rPr>
                <w:sz w:val="24"/>
              </w:rPr>
            </w:pPr>
            <w:r>
              <w:rPr>
                <w:rFonts w:hint="eastAsia"/>
                <w:sz w:val="24"/>
              </w:rPr>
              <w:t>编制单位</w:t>
            </w:r>
          </w:p>
        </w:tc>
        <w:tc>
          <w:tcPr>
            <w:tcW w:w="3472" w:type="dxa"/>
            <w:gridSpan w:val="2"/>
            <w:vAlign w:val="center"/>
          </w:tcPr>
          <w:p>
            <w:pPr>
              <w:widowControl/>
              <w:spacing w:line="240" w:lineRule="auto"/>
              <w:jc w:val="center"/>
              <w:rPr>
                <w:rFonts w:hint="eastAsia" w:eastAsia="宋体"/>
                <w:sz w:val="24"/>
                <w:lang w:eastAsia="zh-CN"/>
              </w:rPr>
            </w:pPr>
            <w:r>
              <w:rPr>
                <w:rFonts w:hint="eastAsia" w:eastAsia="宋体"/>
                <w:sz w:val="24"/>
                <w:lang w:eastAsia="zh-CN"/>
              </w:rPr>
              <w:t>安徽锦环环境科技</w:t>
            </w:r>
          </w:p>
          <w:p>
            <w:pPr>
              <w:widowControl/>
              <w:spacing w:line="240" w:lineRule="auto"/>
              <w:jc w:val="center"/>
              <w:rPr>
                <w:rFonts w:hint="eastAsia" w:eastAsia="宋体"/>
                <w:sz w:val="24"/>
                <w:lang w:eastAsia="zh-CN"/>
              </w:rPr>
            </w:pPr>
            <w:r>
              <w:rPr>
                <w:rFonts w:hint="eastAsia" w:eastAsia="宋体"/>
                <w:sz w:val="24"/>
                <w:lang w:eastAsia="zh-CN"/>
              </w:rPr>
              <w:t>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70" w:type="dxa"/>
            <w:vAlign w:val="center"/>
          </w:tcPr>
          <w:p>
            <w:pPr>
              <w:widowControl/>
              <w:spacing w:line="240" w:lineRule="auto"/>
              <w:jc w:val="center"/>
              <w:rPr>
                <w:sz w:val="24"/>
              </w:rPr>
            </w:pPr>
            <w:r>
              <w:rPr>
                <w:rFonts w:hint="eastAsia"/>
                <w:sz w:val="24"/>
              </w:rPr>
              <w:t>环保设施设计单位</w:t>
            </w:r>
          </w:p>
        </w:tc>
        <w:tc>
          <w:tcPr>
            <w:tcW w:w="2127" w:type="dxa"/>
            <w:vAlign w:val="center"/>
          </w:tcPr>
          <w:p>
            <w:pPr>
              <w:widowControl/>
              <w:spacing w:line="240" w:lineRule="auto"/>
              <w:jc w:val="center"/>
              <w:rPr>
                <w:sz w:val="24"/>
              </w:rPr>
            </w:pPr>
            <w:r>
              <w:rPr>
                <w:rFonts w:hint="eastAsia"/>
                <w:sz w:val="24"/>
              </w:rPr>
              <w:t>/</w:t>
            </w:r>
          </w:p>
        </w:tc>
        <w:tc>
          <w:tcPr>
            <w:tcW w:w="2596" w:type="dxa"/>
            <w:vAlign w:val="center"/>
          </w:tcPr>
          <w:p>
            <w:pPr>
              <w:widowControl/>
              <w:spacing w:line="240" w:lineRule="auto"/>
              <w:jc w:val="center"/>
              <w:rPr>
                <w:sz w:val="24"/>
              </w:rPr>
            </w:pPr>
            <w:r>
              <w:rPr>
                <w:rFonts w:hint="eastAsia"/>
                <w:sz w:val="24"/>
              </w:rPr>
              <w:t>环保设施施工单位</w:t>
            </w:r>
          </w:p>
        </w:tc>
        <w:tc>
          <w:tcPr>
            <w:tcW w:w="3472" w:type="dxa"/>
            <w:gridSpan w:val="2"/>
            <w:vAlign w:val="center"/>
          </w:tcPr>
          <w:p>
            <w:pPr>
              <w:widowControl/>
              <w:spacing w:line="240" w:lineRule="auto"/>
              <w:jc w:val="center"/>
              <w:rPr>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1" w:hRule="atLeast"/>
          <w:jc w:val="center"/>
        </w:trPr>
        <w:tc>
          <w:tcPr>
            <w:tcW w:w="1270" w:type="dxa"/>
            <w:vAlign w:val="center"/>
          </w:tcPr>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投资总概算（万元）</w:t>
            </w:r>
          </w:p>
        </w:tc>
        <w:tc>
          <w:tcPr>
            <w:tcW w:w="2127" w:type="dxa"/>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500</w:t>
            </w:r>
          </w:p>
        </w:tc>
        <w:tc>
          <w:tcPr>
            <w:tcW w:w="2596" w:type="dxa"/>
            <w:vAlign w:val="center"/>
          </w:tcPr>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（万元）</w:t>
            </w:r>
          </w:p>
        </w:tc>
        <w:tc>
          <w:tcPr>
            <w:tcW w:w="1359" w:type="dxa"/>
            <w:vAlign w:val="center"/>
          </w:tcPr>
          <w:p>
            <w:pPr>
              <w:widowControl/>
              <w:spacing w:line="240" w:lineRule="auto"/>
              <w:jc w:val="center"/>
              <w:rPr>
                <w:rFonts w:hint="default" w:eastAsia="宋体"/>
                <w:color w:val="0000FF"/>
                <w:sz w:val="24"/>
                <w:lang w:val="en-US" w:eastAsia="zh-CN"/>
              </w:rPr>
            </w:pPr>
            <w:r>
              <w:rPr>
                <w:rFonts w:hint="eastAsia" w:eastAsia="宋体"/>
                <w:color w:val="000000" w:themeColor="text1"/>
                <w:sz w:val="24"/>
                <w:lang w:val="en-US" w:eastAsia="zh-CN"/>
                <w14:textFill>
                  <w14:solidFill>
                    <w14:schemeClr w14:val="tx1"/>
                  </w14:solidFill>
                </w14:textFill>
              </w:rPr>
              <w:t>20</w:t>
            </w:r>
          </w:p>
        </w:tc>
        <w:tc>
          <w:tcPr>
            <w:tcW w:w="2113" w:type="dxa"/>
            <w:vAlign w:val="center"/>
          </w:tcPr>
          <w:p>
            <w:pPr>
              <w:widowControl/>
              <w:spacing w:line="240" w:lineRule="auto"/>
              <w:jc w:val="center"/>
              <w:rPr>
                <w:color w:val="0000FF"/>
                <w:sz w:val="24"/>
              </w:rPr>
            </w:pPr>
            <w:r>
              <w:rPr>
                <w:rFonts w:hint="eastAsia"/>
                <w:sz w:val="24"/>
                <w:lang w:val="en-US" w:eastAsia="zh-CN"/>
              </w:rPr>
              <w:t>4</w:t>
            </w:r>
            <w:r>
              <w:rPr>
                <w:rFonts w:ascii="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5" w:hRule="atLeast"/>
          <w:jc w:val="center"/>
        </w:trPr>
        <w:tc>
          <w:tcPr>
            <w:tcW w:w="1270" w:type="dxa"/>
            <w:shd w:val="clear" w:color="auto" w:fill="auto"/>
            <w:vAlign w:val="center"/>
          </w:tcPr>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实际总概算（万元）</w:t>
            </w:r>
          </w:p>
        </w:tc>
        <w:tc>
          <w:tcPr>
            <w:tcW w:w="2127" w:type="dxa"/>
            <w:shd w:val="clear" w:color="auto" w:fill="auto"/>
            <w:vAlign w:val="center"/>
          </w:tcPr>
          <w:p>
            <w:pPr>
              <w:widowControl/>
              <w:spacing w:line="240" w:lineRule="auto"/>
              <w:jc w:val="center"/>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500</w:t>
            </w:r>
          </w:p>
        </w:tc>
        <w:tc>
          <w:tcPr>
            <w:tcW w:w="2596" w:type="dxa"/>
            <w:vAlign w:val="center"/>
          </w:tcPr>
          <w:p>
            <w:pPr>
              <w:widowControl/>
              <w:spacing w:line="240" w:lineRule="auto"/>
              <w:jc w:val="cente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实际环保投资</w:t>
            </w:r>
          </w:p>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（万元）</w:t>
            </w:r>
          </w:p>
        </w:tc>
        <w:tc>
          <w:tcPr>
            <w:tcW w:w="1359" w:type="dxa"/>
            <w:vAlign w:val="center"/>
          </w:tcPr>
          <w:p>
            <w:pPr>
              <w:widowControl/>
              <w:spacing w:line="240" w:lineRule="auto"/>
              <w:jc w:val="center"/>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25</w:t>
            </w:r>
          </w:p>
        </w:tc>
        <w:tc>
          <w:tcPr>
            <w:tcW w:w="2113" w:type="dxa"/>
            <w:vAlign w:val="center"/>
          </w:tcPr>
          <w:p>
            <w:pPr>
              <w:widowControl/>
              <w:spacing w:line="240" w:lineRule="auto"/>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70" w:type="dxa"/>
            <w:vAlign w:val="center"/>
          </w:tcPr>
          <w:p>
            <w:pPr>
              <w:widowControl/>
              <w:spacing w:line="360" w:lineRule="auto"/>
              <w:jc w:val="center"/>
              <w:rPr>
                <w:sz w:val="24"/>
              </w:rPr>
            </w:pPr>
            <w:r>
              <w:rPr>
                <w:rFonts w:hint="eastAsia"/>
                <w:sz w:val="24"/>
              </w:rPr>
              <w:t>验收监测依据</w:t>
            </w:r>
          </w:p>
        </w:tc>
        <w:tc>
          <w:tcPr>
            <w:tcW w:w="8195" w:type="dxa"/>
            <w:gridSpan w:val="4"/>
            <w:vAlign w:val="center"/>
          </w:tcPr>
          <w:p>
            <w:pPr>
              <w:widowControl/>
              <w:spacing w:line="360" w:lineRule="auto"/>
              <w:jc w:val="left"/>
              <w:rPr>
                <w:b/>
                <w:bCs/>
                <w:sz w:val="24"/>
              </w:rPr>
            </w:pPr>
            <w:r>
              <w:rPr>
                <w:rFonts w:hint="eastAsia"/>
                <w:b/>
                <w:bCs/>
                <w:sz w:val="24"/>
              </w:rPr>
              <w:t>1、环境保护国家相关法律法规</w:t>
            </w:r>
          </w:p>
          <w:p>
            <w:pPr>
              <w:widowControl/>
              <w:spacing w:line="360" w:lineRule="auto"/>
              <w:ind w:firstLine="240" w:firstLineChars="100"/>
              <w:jc w:val="left"/>
              <w:rPr>
                <w:sz w:val="24"/>
              </w:rPr>
            </w:pPr>
            <w:r>
              <w:rPr>
                <w:rFonts w:hint="eastAsia"/>
                <w:sz w:val="24"/>
              </w:rPr>
              <w:t>（1）《中华人民共和国大气污染防治法》；</w:t>
            </w:r>
          </w:p>
          <w:p>
            <w:pPr>
              <w:widowControl/>
              <w:spacing w:line="360" w:lineRule="auto"/>
              <w:ind w:firstLine="240" w:firstLineChars="100"/>
              <w:jc w:val="left"/>
              <w:rPr>
                <w:sz w:val="24"/>
              </w:rPr>
            </w:pPr>
            <w:r>
              <w:rPr>
                <w:rFonts w:hint="eastAsia"/>
                <w:sz w:val="24"/>
              </w:rPr>
              <w:t>（2）《中华人民共和国水污染防治法》；</w:t>
            </w:r>
          </w:p>
          <w:p>
            <w:pPr>
              <w:widowControl/>
              <w:spacing w:line="360" w:lineRule="auto"/>
              <w:ind w:firstLine="240" w:firstLineChars="100"/>
              <w:jc w:val="left"/>
              <w:rPr>
                <w:sz w:val="24"/>
              </w:rPr>
            </w:pPr>
            <w:r>
              <w:rPr>
                <w:rFonts w:hint="eastAsia"/>
                <w:sz w:val="24"/>
              </w:rPr>
              <w:t>（3）《中华人民共和国环境噪声污染防治法》；</w:t>
            </w:r>
          </w:p>
          <w:p>
            <w:pPr>
              <w:widowControl/>
              <w:spacing w:line="360" w:lineRule="auto"/>
              <w:ind w:firstLine="240" w:firstLineChars="100"/>
              <w:jc w:val="left"/>
              <w:rPr>
                <w:sz w:val="24"/>
              </w:rPr>
            </w:pPr>
            <w:r>
              <w:rPr>
                <w:rFonts w:hint="eastAsia"/>
                <w:sz w:val="24"/>
              </w:rPr>
              <w:t>（4）《中华人民共和国固体废物污染环境防治法》。</w:t>
            </w:r>
          </w:p>
          <w:p>
            <w:pPr>
              <w:widowControl/>
              <w:spacing w:line="360" w:lineRule="auto"/>
              <w:jc w:val="left"/>
              <w:rPr>
                <w:b/>
                <w:bCs/>
                <w:sz w:val="24"/>
              </w:rPr>
            </w:pPr>
            <w:r>
              <w:rPr>
                <w:rFonts w:hint="eastAsia"/>
                <w:b/>
                <w:bCs/>
                <w:sz w:val="24"/>
              </w:rPr>
              <w:t>2、验收相关文件、条例、通知等</w:t>
            </w:r>
          </w:p>
          <w:p>
            <w:pPr>
              <w:widowControl/>
              <w:spacing w:line="360" w:lineRule="auto"/>
              <w:ind w:firstLine="240" w:firstLineChars="100"/>
              <w:jc w:val="left"/>
              <w:rPr>
                <w:sz w:val="24"/>
              </w:rPr>
            </w:pPr>
            <w:r>
              <w:rPr>
                <w:rFonts w:hint="eastAsia"/>
                <w:sz w:val="24"/>
              </w:rPr>
              <w:t>（1）国务院第682号令《建设项目环境保护管理条例》；</w:t>
            </w:r>
          </w:p>
          <w:p>
            <w:pPr>
              <w:widowControl/>
              <w:spacing w:line="360" w:lineRule="auto"/>
              <w:ind w:firstLine="240" w:firstLineChars="100"/>
              <w:jc w:val="left"/>
              <w:rPr>
                <w:sz w:val="24"/>
              </w:rPr>
            </w:pPr>
            <w:r>
              <w:rPr>
                <w:rFonts w:hint="eastAsia"/>
                <w:sz w:val="24"/>
              </w:rPr>
              <w:t>（2）环境保护部文件国环规环评[2017]4号《关于发布建设项目竣工环境保护验收暂行办法》；</w:t>
            </w:r>
          </w:p>
          <w:p>
            <w:pPr>
              <w:widowControl/>
              <w:spacing w:line="360" w:lineRule="auto"/>
              <w:ind w:firstLine="240" w:firstLineChars="100"/>
              <w:jc w:val="left"/>
              <w:rPr>
                <w:sz w:val="24"/>
              </w:rPr>
            </w:pPr>
            <w:r>
              <w:rPr>
                <w:rFonts w:hint="eastAsia"/>
                <w:sz w:val="24"/>
              </w:rPr>
              <w:t>（3）《建设项目竣工环境保护验收技术部指南 污染影响类》（生态环境部）。</w:t>
            </w:r>
          </w:p>
          <w:p>
            <w:pPr>
              <w:widowControl/>
              <w:spacing w:line="360" w:lineRule="auto"/>
              <w:jc w:val="left"/>
              <w:rPr>
                <w:b/>
                <w:bCs/>
                <w:sz w:val="24"/>
              </w:rPr>
            </w:pPr>
            <w:r>
              <w:rPr>
                <w:rFonts w:hint="eastAsia"/>
                <w:b/>
                <w:bCs/>
                <w:sz w:val="24"/>
              </w:rPr>
              <w:t>3、开展验收工作相关文件</w:t>
            </w:r>
          </w:p>
          <w:p>
            <w:pPr>
              <w:widowControl/>
              <w:spacing w:line="360" w:lineRule="auto"/>
              <w:ind w:firstLine="240" w:firstLineChars="100"/>
              <w:jc w:val="left"/>
              <w:rPr>
                <w:color w:val="000000" w:themeColor="text1"/>
                <w:sz w:val="24"/>
                <w14:textFill>
                  <w14:solidFill>
                    <w14:schemeClr w14:val="tx1"/>
                  </w14:solidFill>
                </w14:textFill>
              </w:rPr>
            </w:pPr>
            <w:r>
              <w:rPr>
                <w:rFonts w:hint="eastAsia"/>
                <w:sz w:val="24"/>
              </w:rPr>
              <w:t>（1）</w:t>
            </w:r>
            <w:r>
              <w:rPr>
                <w:rFonts w:hint="eastAsia"/>
                <w:sz w:val="24"/>
                <w:lang w:eastAsia="zh-CN"/>
              </w:rPr>
              <w:t>安徽锦环环境科技有限公司</w:t>
            </w:r>
            <w:r>
              <w:rPr>
                <w:rFonts w:hint="eastAsia"/>
                <w:color w:val="000000" w:themeColor="text1"/>
                <w:sz w:val="24"/>
                <w14:textFill>
                  <w14:solidFill>
                    <w14:schemeClr w14:val="tx1"/>
                  </w14:solidFill>
                </w14:textFill>
              </w:rPr>
              <w:t>编制的《</w:t>
            </w:r>
            <w:r>
              <w:rPr>
                <w:rFonts w:hint="eastAsia"/>
                <w:sz w:val="24"/>
              </w:rPr>
              <w:t>安徽泉生楼梯有限公司实木楼梯家具加工</w:t>
            </w:r>
            <w:r>
              <w:rPr>
                <w:sz w:val="24"/>
              </w:rPr>
              <w:t>项目</w:t>
            </w:r>
            <w:r>
              <w:rPr>
                <w:rFonts w:hint="eastAsia"/>
                <w:color w:val="000000" w:themeColor="text1"/>
                <w:sz w:val="24"/>
                <w:lang w:eastAsia="zh-CN"/>
                <w14:textFill>
                  <w14:solidFill>
                    <w14:schemeClr w14:val="tx1"/>
                  </w14:solidFill>
                </w14:textFill>
              </w:rPr>
              <w:t>环境影响报告表</w:t>
            </w: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21</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10</w:t>
            </w:r>
            <w:r>
              <w:rPr>
                <w:rFonts w:hint="eastAsia"/>
                <w:color w:val="000000" w:themeColor="text1"/>
                <w:sz w:val="24"/>
                <w14:textFill>
                  <w14:solidFill>
                    <w14:schemeClr w14:val="tx1"/>
                  </w14:solidFill>
                </w14:textFill>
              </w:rPr>
              <w:t>月；</w:t>
            </w:r>
          </w:p>
          <w:p>
            <w:pPr>
              <w:widowControl/>
              <w:spacing w:line="360" w:lineRule="auto"/>
              <w:ind w:firstLine="240" w:firstLineChars="100"/>
              <w:jc w:val="left"/>
              <w:rPr>
                <w:sz w:val="24"/>
              </w:rPr>
            </w:pPr>
            <w:r>
              <w:rPr>
                <w:rFonts w:hint="eastAsia"/>
                <w:color w:val="000000" w:themeColor="text1"/>
                <w:sz w:val="24"/>
                <w14:textFill>
                  <w14:solidFill>
                    <w14:schemeClr w14:val="tx1"/>
                  </w14:solidFill>
                </w14:textFill>
              </w:rPr>
              <w:t>（2）</w:t>
            </w:r>
            <w:r>
              <w:rPr>
                <w:rFonts w:hint="eastAsia"/>
                <w:color w:val="000000" w:themeColor="text1"/>
                <w:sz w:val="24"/>
                <w:lang w:eastAsia="zh-CN"/>
                <w14:textFill>
                  <w14:solidFill>
                    <w14:schemeClr w14:val="tx1"/>
                  </w14:solidFill>
                </w14:textFill>
              </w:rPr>
              <w:t>六安市舒城县生态环境分局</w:t>
            </w:r>
            <w:r>
              <w:rPr>
                <w:rFonts w:hint="eastAsia"/>
                <w:color w:val="000000" w:themeColor="text1"/>
                <w:sz w:val="24"/>
                <w14:textFill>
                  <w14:solidFill>
                    <w14:schemeClr w14:val="tx1"/>
                  </w14:solidFill>
                </w14:textFill>
              </w:rPr>
              <w:t>“关于</w:t>
            </w:r>
            <w:r>
              <w:rPr>
                <w:rFonts w:hint="eastAsia"/>
                <w:sz w:val="24"/>
              </w:rPr>
              <w:t>安徽泉生楼梯有限公司实木楼梯家具加工</w:t>
            </w:r>
            <w:r>
              <w:rPr>
                <w:sz w:val="24"/>
              </w:rPr>
              <w:t>项目</w:t>
            </w:r>
            <w:r>
              <w:rPr>
                <w:rFonts w:hint="eastAsia"/>
                <w:color w:val="000000" w:themeColor="text1"/>
                <w:sz w:val="24"/>
                <w:lang w:eastAsia="zh-CN"/>
                <w14:textFill>
                  <w14:solidFill>
                    <w14:schemeClr w14:val="tx1"/>
                  </w14:solidFill>
                </w14:textFill>
              </w:rPr>
              <w:t>环境影响报告表的批复</w:t>
            </w:r>
            <w:r>
              <w:rPr>
                <w:rFonts w:hint="eastAsia"/>
                <w:sz w:val="24"/>
              </w:rPr>
              <w:t>”（</w:t>
            </w:r>
            <w:r>
              <w:rPr>
                <w:rFonts w:hint="eastAsia"/>
                <w:sz w:val="24"/>
                <w:lang w:eastAsia="zh-CN"/>
              </w:rPr>
              <w:t>舒环评</w:t>
            </w:r>
            <w:r>
              <w:rPr>
                <w:rFonts w:hint="eastAsia"/>
                <w:sz w:val="24"/>
              </w:rPr>
              <w:t>[20</w:t>
            </w:r>
            <w:r>
              <w:rPr>
                <w:rFonts w:hint="eastAsia"/>
                <w:sz w:val="24"/>
                <w:lang w:val="en-US" w:eastAsia="zh-CN"/>
              </w:rPr>
              <w:t>21</w:t>
            </w:r>
            <w:r>
              <w:rPr>
                <w:rFonts w:hint="eastAsia"/>
                <w:sz w:val="24"/>
              </w:rPr>
              <w:t>]</w:t>
            </w:r>
            <w:r>
              <w:rPr>
                <w:rFonts w:hint="eastAsia"/>
                <w:sz w:val="24"/>
                <w:lang w:val="en-US" w:eastAsia="zh-CN"/>
              </w:rPr>
              <w:t>51</w:t>
            </w:r>
            <w:r>
              <w:rPr>
                <w:rFonts w:hint="eastAsia"/>
                <w:sz w:val="24"/>
              </w:rPr>
              <w:t>号）；</w:t>
            </w:r>
          </w:p>
          <w:p>
            <w:pPr>
              <w:widowControl/>
              <w:tabs>
                <w:tab w:val="center" w:pos="4122"/>
              </w:tabs>
              <w:spacing w:line="360" w:lineRule="auto"/>
              <w:ind w:firstLine="240" w:firstLineChars="100"/>
              <w:jc w:val="left"/>
              <w:rPr>
                <w:rFonts w:hint="eastAsia"/>
                <w:sz w:val="24"/>
                <w:lang w:val="en-US" w:eastAsia="zh-CN"/>
              </w:rPr>
            </w:pPr>
            <w:r>
              <w:rPr>
                <w:rFonts w:hint="eastAsia"/>
                <w:sz w:val="24"/>
              </w:rPr>
              <w:t>（3）验收检测报告—噪声、废气。</w:t>
            </w:r>
            <w:r>
              <w:rPr>
                <w:rFonts w:hint="eastAsia"/>
                <w:sz w:val="24"/>
                <w:lang w:val="en-US" w:eastAsia="zh-CN"/>
              </w:rPr>
              <w:t xml:space="preserve">    </w:t>
            </w: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eastAsia"/>
                <w:sz w:val="24"/>
                <w:lang w:val="en-US" w:eastAsia="zh-CN"/>
              </w:rPr>
            </w:pPr>
          </w:p>
          <w:p>
            <w:pPr>
              <w:widowControl/>
              <w:tabs>
                <w:tab w:val="center" w:pos="4122"/>
              </w:tabs>
              <w:spacing w:line="360" w:lineRule="auto"/>
              <w:jc w:val="left"/>
              <w:rPr>
                <w:rFonts w:hint="default" w:eastAsiaTheme="minorEastAsia"/>
                <w:sz w:val="24"/>
                <w:lang w:val="en-US" w:eastAsia="zh-CN"/>
              </w:rPr>
            </w:pPr>
            <w:r>
              <w:rPr>
                <w:rFonts w:hint="eastAsia"/>
                <w:sz w:val="24"/>
                <w:lang w:val="en-US" w:eastAsia="zh-CN"/>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39" w:hRule="atLeast"/>
          <w:jc w:val="center"/>
        </w:trPr>
        <w:tc>
          <w:tcPr>
            <w:tcW w:w="1270" w:type="dxa"/>
            <w:vAlign w:val="center"/>
          </w:tcPr>
          <w:p>
            <w:pPr>
              <w:widowControl/>
              <w:spacing w:line="360" w:lineRule="auto"/>
              <w:jc w:val="center"/>
              <w:rPr>
                <w:sz w:val="24"/>
              </w:rPr>
            </w:pPr>
            <w:r>
              <w:rPr>
                <w:rFonts w:hint="eastAsia"/>
                <w:sz w:val="24"/>
              </w:rPr>
              <w:t>验收监测评价标准、标号、级别、限值</w:t>
            </w:r>
          </w:p>
        </w:tc>
        <w:tc>
          <w:tcPr>
            <w:tcW w:w="8195" w:type="dxa"/>
            <w:gridSpan w:val="4"/>
            <w:vAlign w:val="center"/>
          </w:tcPr>
          <w:p>
            <w:pPr>
              <w:numPr>
                <w:ilvl w:val="0"/>
                <w:numId w:val="1"/>
              </w:numPr>
              <w:adjustRightInd w:val="0"/>
              <w:snapToGrid w:val="0"/>
              <w:spacing w:line="480" w:lineRule="exact"/>
              <w:rPr>
                <w:rFonts w:cs="Times New Roman"/>
                <w:b/>
                <w:bCs/>
                <w:sz w:val="24"/>
              </w:rPr>
            </w:pPr>
            <w:r>
              <w:rPr>
                <w:rFonts w:cs="Times New Roman"/>
                <w:b/>
                <w:bCs/>
                <w:sz w:val="24"/>
              </w:rPr>
              <w:t>环境质量标准</w:t>
            </w:r>
          </w:p>
          <w:p>
            <w:pPr>
              <w:adjustRightInd w:val="0"/>
              <w:snapToGrid w:val="0"/>
              <w:spacing w:line="480" w:lineRule="exact"/>
              <w:ind w:firstLine="480" w:firstLineChars="200"/>
              <w:rPr>
                <w:rFonts w:cs="Times New Roman"/>
              </w:rPr>
            </w:pPr>
            <w:r>
              <w:rPr>
                <w:rFonts w:cs="Times New Roman"/>
                <w:sz w:val="24"/>
              </w:rPr>
              <w:t>（1）大气环境：项目区域环境空气执行《环境空气质量标准》（GB3095-2012）</w:t>
            </w:r>
            <w:r>
              <w:rPr>
                <w:rStyle w:val="24"/>
                <w:rFonts w:cs="Times New Roman"/>
                <w:sz w:val="24"/>
                <w:szCs w:val="24"/>
              </w:rPr>
              <w:t>及2018年修改单</w:t>
            </w:r>
            <w:r>
              <w:rPr>
                <w:rFonts w:cs="Times New Roman"/>
                <w:sz w:val="24"/>
              </w:rPr>
              <w:t>中的二级标准限值。其标准限值见下表：</w:t>
            </w:r>
          </w:p>
          <w:p>
            <w:pPr>
              <w:spacing w:line="360" w:lineRule="auto"/>
              <w:ind w:firstLine="2168" w:firstLineChars="900"/>
              <w:jc w:val="both"/>
              <w:rPr>
                <w:bCs/>
                <w:sz w:val="24"/>
              </w:rPr>
            </w:pPr>
            <w:r>
              <w:rPr>
                <w:rFonts w:hint="eastAsia"/>
                <w:b/>
                <w:sz w:val="24"/>
              </w:rPr>
              <w:t xml:space="preserve">表1.1 大气环境质量标准       </w:t>
            </w:r>
            <w:r>
              <w:rPr>
                <w:rFonts w:hint="eastAsia"/>
                <w:bCs/>
                <w:sz w:val="24"/>
              </w:rPr>
              <w:t>单位：</w:t>
            </w:r>
            <w:r>
              <w:rPr>
                <w:rFonts w:cs="Times New Roman"/>
                <w:bCs/>
                <w:sz w:val="24"/>
              </w:rPr>
              <w:t>μg/m</w:t>
            </w:r>
            <w:r>
              <w:rPr>
                <w:rFonts w:cs="Times New Roman"/>
                <w:bCs/>
                <w:sz w:val="24"/>
                <w:vertAlign w:val="superscript"/>
              </w:rPr>
              <w:t>3</w:t>
            </w:r>
          </w:p>
          <w:tbl>
            <w:tblPr>
              <w:tblStyle w:val="21"/>
              <w:tblpPr w:leftFromText="180" w:rightFromText="180" w:vertAnchor="text" w:tblpXSpec="center" w:tblpY="1"/>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639"/>
              <w:gridCol w:w="2580"/>
              <w:gridCol w:w="1578"/>
              <w:gridCol w:w="2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Align w:val="center"/>
                </w:tcPr>
                <w:p>
                  <w:pPr>
                    <w:pStyle w:val="14"/>
                    <w:jc w:val="center"/>
                    <w:rPr>
                      <w:rFonts w:ascii="Times New Roman" w:hAnsi="Times New Roman"/>
                      <w:b/>
                      <w:szCs w:val="21"/>
                    </w:rPr>
                  </w:pPr>
                  <w:r>
                    <w:rPr>
                      <w:rFonts w:ascii="Times New Roman" w:hAnsi="宋体"/>
                      <w:b/>
                      <w:szCs w:val="21"/>
                    </w:rPr>
                    <w:t>污染物名称</w:t>
                  </w:r>
                </w:p>
              </w:tc>
              <w:tc>
                <w:tcPr>
                  <w:tcW w:w="1525" w:type="pct"/>
                  <w:vAlign w:val="center"/>
                </w:tcPr>
                <w:p>
                  <w:pPr>
                    <w:pStyle w:val="14"/>
                    <w:jc w:val="center"/>
                    <w:rPr>
                      <w:rFonts w:ascii="Times New Roman" w:hAnsi="Times New Roman"/>
                      <w:b/>
                      <w:szCs w:val="21"/>
                    </w:rPr>
                  </w:pPr>
                  <w:r>
                    <w:rPr>
                      <w:rFonts w:ascii="Times New Roman" w:hAnsi="宋体"/>
                      <w:b/>
                      <w:szCs w:val="21"/>
                    </w:rPr>
                    <w:t>取值时间</w:t>
                  </w:r>
                </w:p>
              </w:tc>
              <w:tc>
                <w:tcPr>
                  <w:tcW w:w="933" w:type="pct"/>
                  <w:vAlign w:val="center"/>
                </w:tcPr>
                <w:p>
                  <w:pPr>
                    <w:pStyle w:val="14"/>
                    <w:jc w:val="center"/>
                    <w:rPr>
                      <w:rFonts w:ascii="Times New Roman" w:hAnsi="Times New Roman"/>
                      <w:b/>
                      <w:szCs w:val="21"/>
                    </w:rPr>
                  </w:pPr>
                  <w:r>
                    <w:rPr>
                      <w:rFonts w:ascii="Times New Roman" w:hAnsi="宋体"/>
                      <w:b/>
                      <w:szCs w:val="21"/>
                    </w:rPr>
                    <w:t>浓度限值</w:t>
                  </w:r>
                </w:p>
              </w:tc>
              <w:tc>
                <w:tcPr>
                  <w:tcW w:w="1571" w:type="pct"/>
                  <w:vAlign w:val="center"/>
                </w:tcPr>
                <w:p>
                  <w:pPr>
                    <w:pStyle w:val="14"/>
                    <w:jc w:val="center"/>
                    <w:rPr>
                      <w:rFonts w:ascii="Times New Roman" w:hAnsi="Times New Roman"/>
                      <w:b/>
                      <w:szCs w:val="21"/>
                    </w:rPr>
                  </w:pPr>
                  <w:r>
                    <w:rPr>
                      <w:rFonts w:ascii="Times New Roman" w:hAnsi="宋体"/>
                      <w:b/>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vAlign w:val="center"/>
                </w:tcPr>
                <w:p>
                  <w:pPr>
                    <w:jc w:val="center"/>
                    <w:rPr>
                      <w:bCs/>
                      <w:szCs w:val="21"/>
                    </w:rPr>
                  </w:pPr>
                  <w:r>
                    <w:rPr>
                      <w:bCs/>
                      <w:szCs w:val="21"/>
                    </w:rPr>
                    <w:t>SO</w:t>
                  </w:r>
                  <w:r>
                    <w:rPr>
                      <w:bCs/>
                      <w:szCs w:val="21"/>
                      <w:vertAlign w:val="subscript"/>
                    </w:rPr>
                    <w:t>2</w:t>
                  </w:r>
                </w:p>
              </w:tc>
              <w:tc>
                <w:tcPr>
                  <w:tcW w:w="1525" w:type="pct"/>
                  <w:vAlign w:val="center"/>
                </w:tcPr>
                <w:p>
                  <w:pPr>
                    <w:jc w:val="center"/>
                    <w:rPr>
                      <w:rFonts w:eastAsia="宋体"/>
                      <w:bCs/>
                      <w:szCs w:val="21"/>
                    </w:rPr>
                  </w:pPr>
                  <w:r>
                    <w:rPr>
                      <w:rFonts w:hint="eastAsia"/>
                      <w:bCs/>
                      <w:szCs w:val="21"/>
                    </w:rPr>
                    <w:t>年平均</w:t>
                  </w:r>
                </w:p>
              </w:tc>
              <w:tc>
                <w:tcPr>
                  <w:tcW w:w="933" w:type="pct"/>
                  <w:vAlign w:val="center"/>
                </w:tcPr>
                <w:p>
                  <w:pPr>
                    <w:pStyle w:val="14"/>
                    <w:jc w:val="center"/>
                    <w:rPr>
                      <w:rFonts w:ascii="Times New Roman" w:hAnsi="Times New Roman"/>
                      <w:bCs/>
                      <w:szCs w:val="21"/>
                    </w:rPr>
                  </w:pPr>
                  <w:r>
                    <w:rPr>
                      <w:rFonts w:hint="eastAsia" w:ascii="Times New Roman" w:hAnsi="Times New Roman"/>
                      <w:bCs/>
                      <w:szCs w:val="21"/>
                    </w:rPr>
                    <w:t>60</w:t>
                  </w:r>
                </w:p>
              </w:tc>
              <w:tc>
                <w:tcPr>
                  <w:tcW w:w="1571" w:type="pct"/>
                  <w:vMerge w:val="restart"/>
                  <w:vAlign w:val="center"/>
                </w:tcPr>
                <w:p>
                  <w:pPr>
                    <w:jc w:val="center"/>
                    <w:rPr>
                      <w:bCs/>
                      <w:szCs w:val="21"/>
                    </w:rPr>
                  </w:pPr>
                  <w:r>
                    <w:rPr>
                      <w:rFonts w:hAnsi="宋体"/>
                      <w:szCs w:val="21"/>
                    </w:rPr>
                    <w:t>《环境空气质量标准》（</w:t>
                  </w:r>
                  <w:r>
                    <w:rPr>
                      <w:szCs w:val="21"/>
                    </w:rPr>
                    <w:t>GB3095-2012</w:t>
                  </w:r>
                  <w:r>
                    <w:rPr>
                      <w:rFonts w:hAnsi="宋体"/>
                      <w:szCs w:val="21"/>
                    </w:rPr>
                    <w:t>）</w:t>
                  </w:r>
                  <w:r>
                    <w:rPr>
                      <w:rFonts w:hint="eastAsia" w:hAnsi="宋体"/>
                      <w:szCs w:val="21"/>
                    </w:rPr>
                    <w:t>及2018修改单</w:t>
                  </w:r>
                  <w:r>
                    <w:rPr>
                      <w:rFonts w:hAnsi="宋体"/>
                      <w:bCs/>
                      <w:szCs w:val="21"/>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jc w:val="center"/>
                    <w:rPr>
                      <w:bCs/>
                      <w:szCs w:val="21"/>
                    </w:rPr>
                  </w:pPr>
                  <w:r>
                    <w:rPr>
                      <w:bCs/>
                      <w:szCs w:val="21"/>
                    </w:rPr>
                    <w:t>24</w:t>
                  </w:r>
                  <w:r>
                    <w:rPr>
                      <w:rFonts w:hAnsi="宋体"/>
                      <w:bCs/>
                      <w:szCs w:val="21"/>
                    </w:rPr>
                    <w:t>小时平均</w:t>
                  </w:r>
                </w:p>
              </w:tc>
              <w:tc>
                <w:tcPr>
                  <w:tcW w:w="933" w:type="pct"/>
                  <w:vAlign w:val="center"/>
                </w:tcPr>
                <w:p>
                  <w:pPr>
                    <w:pStyle w:val="14"/>
                    <w:jc w:val="center"/>
                    <w:rPr>
                      <w:rFonts w:ascii="Times New Roman" w:hAnsi="Times New Roman"/>
                      <w:bCs/>
                      <w:szCs w:val="21"/>
                    </w:rPr>
                  </w:pPr>
                  <w:r>
                    <w:rPr>
                      <w:rFonts w:ascii="Times New Roman" w:hAnsi="Times New Roman"/>
                      <w:bCs/>
                      <w:szCs w:val="21"/>
                    </w:rPr>
                    <w:t>150</w:t>
                  </w:r>
                </w:p>
              </w:tc>
              <w:tc>
                <w:tcPr>
                  <w:tcW w:w="1571" w:type="pct"/>
                  <w:vMerge w:val="continue"/>
                  <w:vAlign w:val="center"/>
                </w:tcPr>
                <w:p>
                  <w:pPr>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pStyle w:val="14"/>
                    <w:jc w:val="center"/>
                    <w:rPr>
                      <w:rFonts w:ascii="Times New Roman" w:hAnsi="Times New Roman"/>
                      <w:bCs/>
                      <w:szCs w:val="21"/>
                    </w:rPr>
                  </w:pPr>
                  <w:r>
                    <w:rPr>
                      <w:rFonts w:ascii="Times New Roman" w:hAnsi="Times New Roman"/>
                      <w:bCs/>
                      <w:szCs w:val="21"/>
                    </w:rPr>
                    <w:t>1</w:t>
                  </w:r>
                  <w:r>
                    <w:rPr>
                      <w:rFonts w:ascii="Times New Roman" w:hAnsi="宋体"/>
                      <w:bCs/>
                      <w:szCs w:val="21"/>
                    </w:rPr>
                    <w:t>小时平均</w:t>
                  </w:r>
                </w:p>
              </w:tc>
              <w:tc>
                <w:tcPr>
                  <w:tcW w:w="933" w:type="pct"/>
                  <w:vAlign w:val="center"/>
                </w:tcPr>
                <w:p>
                  <w:pPr>
                    <w:pStyle w:val="14"/>
                    <w:jc w:val="center"/>
                    <w:rPr>
                      <w:rFonts w:ascii="Times New Roman" w:hAnsi="Times New Roman"/>
                      <w:bCs/>
                      <w:szCs w:val="21"/>
                    </w:rPr>
                  </w:pPr>
                  <w:r>
                    <w:rPr>
                      <w:rFonts w:ascii="Times New Roman" w:hAnsi="Times New Roman"/>
                      <w:bCs/>
                      <w:szCs w:val="21"/>
                    </w:rPr>
                    <w:t>500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vAlign w:val="center"/>
                </w:tcPr>
                <w:p>
                  <w:pPr>
                    <w:jc w:val="center"/>
                    <w:rPr>
                      <w:bCs/>
                      <w:szCs w:val="21"/>
                    </w:rPr>
                  </w:pPr>
                  <w:r>
                    <w:rPr>
                      <w:bCs/>
                      <w:szCs w:val="21"/>
                    </w:rPr>
                    <w:t>NO</w:t>
                  </w:r>
                  <w:r>
                    <w:rPr>
                      <w:bCs/>
                      <w:szCs w:val="21"/>
                      <w:vertAlign w:val="subscript"/>
                    </w:rPr>
                    <w:t>2</w:t>
                  </w:r>
                </w:p>
              </w:tc>
              <w:tc>
                <w:tcPr>
                  <w:tcW w:w="1525" w:type="pct"/>
                  <w:vAlign w:val="center"/>
                </w:tcPr>
                <w:p>
                  <w:pPr>
                    <w:pStyle w:val="14"/>
                    <w:jc w:val="center"/>
                    <w:rPr>
                      <w:rFonts w:ascii="Times New Roman" w:hAnsi="Times New Roman" w:eastAsia="宋体"/>
                      <w:bCs/>
                      <w:szCs w:val="21"/>
                    </w:rPr>
                  </w:pPr>
                  <w:r>
                    <w:rPr>
                      <w:rFonts w:hint="eastAsia" w:ascii="Times New Roman" w:hAnsi="Times New Roman"/>
                      <w:bCs/>
                      <w:szCs w:val="21"/>
                    </w:rPr>
                    <w:t>年平均</w:t>
                  </w:r>
                </w:p>
              </w:tc>
              <w:tc>
                <w:tcPr>
                  <w:tcW w:w="933" w:type="pct"/>
                  <w:vAlign w:val="center"/>
                </w:tcPr>
                <w:p>
                  <w:pPr>
                    <w:pStyle w:val="14"/>
                    <w:jc w:val="center"/>
                    <w:rPr>
                      <w:rFonts w:ascii="Times New Roman" w:hAnsi="Times New Roman"/>
                      <w:bCs/>
                      <w:szCs w:val="21"/>
                    </w:rPr>
                  </w:pPr>
                  <w:r>
                    <w:rPr>
                      <w:rFonts w:hint="eastAsia" w:ascii="Times New Roman" w:hAnsi="Times New Roman"/>
                      <w:bCs/>
                      <w:szCs w:val="21"/>
                    </w:rPr>
                    <w:t>40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pStyle w:val="14"/>
                    <w:jc w:val="center"/>
                    <w:rPr>
                      <w:rFonts w:ascii="Times New Roman" w:hAnsi="Times New Roman"/>
                      <w:bCs/>
                      <w:szCs w:val="21"/>
                    </w:rPr>
                  </w:pPr>
                  <w:r>
                    <w:rPr>
                      <w:rFonts w:ascii="Times New Roman" w:hAnsi="Times New Roman"/>
                      <w:bCs/>
                      <w:szCs w:val="21"/>
                    </w:rPr>
                    <w:t>24</w:t>
                  </w:r>
                  <w:r>
                    <w:rPr>
                      <w:rFonts w:ascii="Times New Roman" w:hAnsi="宋体"/>
                      <w:bCs/>
                      <w:szCs w:val="21"/>
                    </w:rPr>
                    <w:t>小时平均</w:t>
                  </w:r>
                </w:p>
              </w:tc>
              <w:tc>
                <w:tcPr>
                  <w:tcW w:w="933" w:type="pct"/>
                  <w:vAlign w:val="center"/>
                </w:tcPr>
                <w:p>
                  <w:pPr>
                    <w:pStyle w:val="14"/>
                    <w:jc w:val="center"/>
                    <w:rPr>
                      <w:rFonts w:ascii="Times New Roman" w:hAnsi="Times New Roman"/>
                      <w:bCs/>
                      <w:szCs w:val="21"/>
                    </w:rPr>
                  </w:pPr>
                  <w:r>
                    <w:rPr>
                      <w:rFonts w:ascii="Times New Roman" w:hAnsi="Times New Roman"/>
                      <w:bCs/>
                      <w:szCs w:val="21"/>
                    </w:rPr>
                    <w:t>80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pStyle w:val="14"/>
                    <w:jc w:val="center"/>
                    <w:rPr>
                      <w:rFonts w:ascii="Times New Roman" w:hAnsi="Times New Roman"/>
                      <w:bCs/>
                      <w:szCs w:val="21"/>
                    </w:rPr>
                  </w:pPr>
                  <w:r>
                    <w:rPr>
                      <w:rFonts w:ascii="Times New Roman" w:hAnsi="Times New Roman"/>
                      <w:bCs/>
                      <w:szCs w:val="21"/>
                    </w:rPr>
                    <w:t>1</w:t>
                  </w:r>
                  <w:r>
                    <w:rPr>
                      <w:rFonts w:ascii="Times New Roman" w:hAnsi="宋体"/>
                      <w:bCs/>
                      <w:szCs w:val="21"/>
                    </w:rPr>
                    <w:t>小时平均</w:t>
                  </w:r>
                </w:p>
              </w:tc>
              <w:tc>
                <w:tcPr>
                  <w:tcW w:w="933" w:type="pct"/>
                  <w:vAlign w:val="center"/>
                </w:tcPr>
                <w:p>
                  <w:pPr>
                    <w:pStyle w:val="14"/>
                    <w:jc w:val="center"/>
                    <w:rPr>
                      <w:rFonts w:ascii="Times New Roman" w:hAnsi="Times New Roman"/>
                      <w:bCs/>
                      <w:szCs w:val="21"/>
                    </w:rPr>
                  </w:pPr>
                  <w:r>
                    <w:rPr>
                      <w:rFonts w:hint="eastAsia" w:ascii="Times New Roman" w:hAnsi="Times New Roman"/>
                      <w:bCs/>
                      <w:szCs w:val="21"/>
                    </w:rPr>
                    <w:t>200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vAlign w:val="center"/>
                </w:tcPr>
                <w:p>
                  <w:pPr>
                    <w:jc w:val="center"/>
                    <w:rPr>
                      <w:rFonts w:eastAsia="宋体"/>
                      <w:bCs/>
                      <w:szCs w:val="21"/>
                    </w:rPr>
                  </w:pPr>
                  <w:r>
                    <w:rPr>
                      <w:rFonts w:hint="eastAsia"/>
                      <w:bCs/>
                      <w:szCs w:val="21"/>
                    </w:rPr>
                    <w:t>O</w:t>
                  </w:r>
                  <w:r>
                    <w:rPr>
                      <w:rFonts w:hint="eastAsia"/>
                      <w:bCs/>
                      <w:szCs w:val="21"/>
                      <w:vertAlign w:val="subscript"/>
                    </w:rPr>
                    <w:t>3</w:t>
                  </w:r>
                </w:p>
              </w:tc>
              <w:tc>
                <w:tcPr>
                  <w:tcW w:w="1525" w:type="pct"/>
                  <w:vAlign w:val="center"/>
                </w:tcPr>
                <w:p>
                  <w:pPr>
                    <w:pStyle w:val="14"/>
                    <w:jc w:val="center"/>
                    <w:rPr>
                      <w:rFonts w:ascii="Times New Roman" w:hAnsi="Times New Roman" w:eastAsia="宋体"/>
                      <w:bCs/>
                      <w:szCs w:val="21"/>
                    </w:rPr>
                  </w:pPr>
                  <w:r>
                    <w:rPr>
                      <w:rFonts w:hint="eastAsia" w:ascii="Times New Roman" w:hAnsi="Times New Roman"/>
                      <w:bCs/>
                      <w:szCs w:val="21"/>
                    </w:rPr>
                    <w:t>日最大8小时平均</w:t>
                  </w:r>
                </w:p>
              </w:tc>
              <w:tc>
                <w:tcPr>
                  <w:tcW w:w="933" w:type="pct"/>
                  <w:vAlign w:val="center"/>
                </w:tcPr>
                <w:p>
                  <w:pPr>
                    <w:pStyle w:val="14"/>
                    <w:jc w:val="center"/>
                    <w:rPr>
                      <w:rFonts w:ascii="Times New Roman" w:hAnsi="Times New Roman"/>
                      <w:bCs/>
                      <w:szCs w:val="21"/>
                    </w:rPr>
                  </w:pPr>
                  <w:r>
                    <w:rPr>
                      <w:rFonts w:hint="eastAsia" w:ascii="Times New Roman" w:hAnsi="Times New Roman"/>
                      <w:bCs/>
                      <w:szCs w:val="21"/>
                    </w:rPr>
                    <w:t>160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pStyle w:val="14"/>
                    <w:jc w:val="center"/>
                    <w:rPr>
                      <w:rFonts w:ascii="Times New Roman" w:hAnsi="Times New Roman" w:eastAsia="宋体"/>
                      <w:bCs/>
                      <w:szCs w:val="21"/>
                    </w:rPr>
                  </w:pPr>
                  <w:r>
                    <w:rPr>
                      <w:rFonts w:hint="eastAsia" w:ascii="Times New Roman" w:hAnsi="Times New Roman"/>
                      <w:bCs/>
                      <w:szCs w:val="21"/>
                    </w:rPr>
                    <w:t>1小时平均</w:t>
                  </w:r>
                </w:p>
              </w:tc>
              <w:tc>
                <w:tcPr>
                  <w:tcW w:w="933" w:type="pct"/>
                  <w:vAlign w:val="center"/>
                </w:tcPr>
                <w:p>
                  <w:pPr>
                    <w:pStyle w:val="14"/>
                    <w:jc w:val="center"/>
                    <w:rPr>
                      <w:rFonts w:ascii="Times New Roman" w:hAnsi="Times New Roman"/>
                      <w:bCs/>
                      <w:szCs w:val="21"/>
                    </w:rPr>
                  </w:pPr>
                  <w:r>
                    <w:rPr>
                      <w:rFonts w:hint="eastAsia" w:ascii="Times New Roman" w:hAnsi="Times New Roman"/>
                      <w:bCs/>
                      <w:szCs w:val="21"/>
                    </w:rPr>
                    <w:t>200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vAlign w:val="center"/>
                </w:tcPr>
                <w:p>
                  <w:pPr>
                    <w:jc w:val="center"/>
                    <w:rPr>
                      <w:bCs/>
                      <w:szCs w:val="21"/>
                    </w:rPr>
                  </w:pPr>
                  <w:r>
                    <w:rPr>
                      <w:bCs/>
                      <w:szCs w:val="21"/>
                    </w:rPr>
                    <w:t>PM</w:t>
                  </w:r>
                  <w:r>
                    <w:rPr>
                      <w:bCs/>
                      <w:szCs w:val="21"/>
                      <w:vertAlign w:val="subscript"/>
                    </w:rPr>
                    <w:t>10</w:t>
                  </w:r>
                </w:p>
              </w:tc>
              <w:tc>
                <w:tcPr>
                  <w:tcW w:w="1525" w:type="pct"/>
                  <w:vAlign w:val="center"/>
                </w:tcPr>
                <w:p>
                  <w:pPr>
                    <w:pStyle w:val="14"/>
                    <w:jc w:val="center"/>
                    <w:rPr>
                      <w:rFonts w:ascii="Times New Roman" w:hAnsi="Times New Roman"/>
                      <w:bCs/>
                      <w:szCs w:val="21"/>
                    </w:rPr>
                  </w:pPr>
                  <w:r>
                    <w:rPr>
                      <w:rFonts w:ascii="Times New Roman" w:hAnsi="宋体"/>
                      <w:bCs/>
                      <w:szCs w:val="21"/>
                    </w:rPr>
                    <w:t>年平均</w:t>
                  </w:r>
                </w:p>
              </w:tc>
              <w:tc>
                <w:tcPr>
                  <w:tcW w:w="933" w:type="pct"/>
                  <w:vAlign w:val="center"/>
                </w:tcPr>
                <w:p>
                  <w:pPr>
                    <w:pStyle w:val="14"/>
                    <w:jc w:val="center"/>
                    <w:rPr>
                      <w:rFonts w:ascii="Times New Roman" w:hAnsi="Times New Roman"/>
                      <w:bCs/>
                      <w:szCs w:val="21"/>
                    </w:rPr>
                  </w:pPr>
                  <w:r>
                    <w:rPr>
                      <w:rFonts w:hint="eastAsia" w:ascii="Times New Roman" w:hAnsi="Times New Roman"/>
                      <w:bCs/>
                      <w:szCs w:val="21"/>
                    </w:rPr>
                    <w:t>70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pStyle w:val="14"/>
                    <w:jc w:val="center"/>
                    <w:rPr>
                      <w:rFonts w:ascii="Times New Roman" w:hAnsi="Times New Roman"/>
                      <w:bCs/>
                      <w:szCs w:val="21"/>
                    </w:rPr>
                  </w:pPr>
                  <w:r>
                    <w:rPr>
                      <w:rFonts w:ascii="Times New Roman" w:hAnsi="Times New Roman"/>
                      <w:bCs/>
                      <w:szCs w:val="21"/>
                    </w:rPr>
                    <w:t>24</w:t>
                  </w:r>
                  <w:r>
                    <w:rPr>
                      <w:rFonts w:ascii="Times New Roman" w:hAnsi="宋体"/>
                      <w:bCs/>
                      <w:szCs w:val="21"/>
                    </w:rPr>
                    <w:t>小时平均</w:t>
                  </w:r>
                </w:p>
              </w:tc>
              <w:tc>
                <w:tcPr>
                  <w:tcW w:w="933" w:type="pct"/>
                  <w:vAlign w:val="center"/>
                </w:tcPr>
                <w:p>
                  <w:pPr>
                    <w:pStyle w:val="14"/>
                    <w:jc w:val="center"/>
                    <w:rPr>
                      <w:rFonts w:ascii="Times New Roman" w:hAnsi="Times New Roman"/>
                      <w:bCs/>
                      <w:szCs w:val="21"/>
                    </w:rPr>
                  </w:pPr>
                  <w:r>
                    <w:rPr>
                      <w:rFonts w:ascii="Times New Roman" w:hAnsi="Times New Roman"/>
                      <w:bCs/>
                      <w:szCs w:val="21"/>
                    </w:rPr>
                    <w:t>150</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vAlign w:val="center"/>
                </w:tcPr>
                <w:p>
                  <w:pPr>
                    <w:jc w:val="center"/>
                    <w:rPr>
                      <w:bCs/>
                      <w:szCs w:val="21"/>
                    </w:rPr>
                  </w:pPr>
                  <w:r>
                    <w:rPr>
                      <w:bCs/>
                      <w:szCs w:val="21"/>
                    </w:rPr>
                    <w:t>CO</w:t>
                  </w:r>
                </w:p>
              </w:tc>
              <w:tc>
                <w:tcPr>
                  <w:tcW w:w="1525" w:type="pct"/>
                  <w:vAlign w:val="center"/>
                </w:tcPr>
                <w:p>
                  <w:pPr>
                    <w:pStyle w:val="14"/>
                    <w:jc w:val="center"/>
                    <w:rPr>
                      <w:rFonts w:ascii="Times New Roman" w:hAnsi="Times New Roman"/>
                      <w:bCs/>
                      <w:szCs w:val="21"/>
                    </w:rPr>
                  </w:pPr>
                  <w:r>
                    <w:rPr>
                      <w:rFonts w:ascii="Times New Roman" w:hAnsi="Times New Roman"/>
                      <w:bCs/>
                      <w:szCs w:val="21"/>
                    </w:rPr>
                    <w:t>24</w:t>
                  </w:r>
                  <w:r>
                    <w:rPr>
                      <w:rFonts w:ascii="Times New Roman" w:hAnsi="宋体"/>
                      <w:bCs/>
                      <w:szCs w:val="21"/>
                    </w:rPr>
                    <w:t>小时平均</w:t>
                  </w:r>
                </w:p>
              </w:tc>
              <w:tc>
                <w:tcPr>
                  <w:tcW w:w="933" w:type="pct"/>
                  <w:vAlign w:val="center"/>
                </w:tcPr>
                <w:p>
                  <w:pPr>
                    <w:pStyle w:val="14"/>
                    <w:jc w:val="center"/>
                    <w:rPr>
                      <w:rFonts w:ascii="Times New Roman" w:hAnsi="Times New Roman"/>
                      <w:bCs/>
                      <w:szCs w:val="21"/>
                    </w:rPr>
                  </w:pPr>
                  <w:r>
                    <w:rPr>
                      <w:rFonts w:ascii="Times New Roman" w:hAnsi="Times New Roman"/>
                      <w:bCs/>
                      <w:szCs w:val="21"/>
                    </w:rPr>
                    <w:t>4.00mg/m</w:t>
                  </w:r>
                  <w:r>
                    <w:rPr>
                      <w:rFonts w:ascii="Times New Roman" w:hAnsi="Times New Roman"/>
                      <w:bCs/>
                      <w:szCs w:val="21"/>
                      <w:vertAlign w:val="superscript"/>
                    </w:rPr>
                    <w:t>3</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pStyle w:val="14"/>
                    <w:jc w:val="center"/>
                    <w:rPr>
                      <w:rFonts w:ascii="Times New Roman" w:hAnsi="Times New Roman"/>
                      <w:bCs/>
                      <w:szCs w:val="21"/>
                    </w:rPr>
                  </w:pPr>
                  <w:r>
                    <w:rPr>
                      <w:rFonts w:ascii="Times New Roman" w:hAnsi="Times New Roman"/>
                      <w:bCs/>
                      <w:szCs w:val="21"/>
                    </w:rPr>
                    <w:t>1</w:t>
                  </w:r>
                  <w:r>
                    <w:rPr>
                      <w:rFonts w:ascii="Times New Roman" w:hAnsi="宋体"/>
                      <w:bCs/>
                      <w:szCs w:val="21"/>
                    </w:rPr>
                    <w:t>小时平均</w:t>
                  </w:r>
                </w:p>
              </w:tc>
              <w:tc>
                <w:tcPr>
                  <w:tcW w:w="933" w:type="pct"/>
                  <w:vAlign w:val="center"/>
                </w:tcPr>
                <w:p>
                  <w:pPr>
                    <w:pStyle w:val="14"/>
                    <w:jc w:val="center"/>
                    <w:rPr>
                      <w:rFonts w:ascii="Times New Roman" w:hAnsi="Times New Roman"/>
                      <w:bCs/>
                      <w:szCs w:val="21"/>
                    </w:rPr>
                  </w:pPr>
                  <w:r>
                    <w:rPr>
                      <w:rFonts w:ascii="Times New Roman" w:hAnsi="Times New Roman"/>
                      <w:bCs/>
                      <w:szCs w:val="21"/>
                    </w:rPr>
                    <w:t>10.00mg/m</w:t>
                  </w:r>
                  <w:r>
                    <w:rPr>
                      <w:rFonts w:ascii="Times New Roman" w:hAnsi="Times New Roman"/>
                      <w:bCs/>
                      <w:szCs w:val="21"/>
                      <w:vertAlign w:val="superscript"/>
                    </w:rPr>
                    <w:t>3</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2" w:hRule="atLeast"/>
              </w:trPr>
              <w:tc>
                <w:tcPr>
                  <w:tcW w:w="969" w:type="pct"/>
                  <w:vMerge w:val="restart"/>
                  <w:vAlign w:val="center"/>
                </w:tcPr>
                <w:p>
                  <w:pPr>
                    <w:jc w:val="center"/>
                    <w:rPr>
                      <w:rFonts w:eastAsia="宋体"/>
                      <w:bCs/>
                      <w:szCs w:val="21"/>
                    </w:rPr>
                  </w:pPr>
                  <w:r>
                    <w:rPr>
                      <w:bCs/>
                      <w:szCs w:val="21"/>
                    </w:rPr>
                    <w:t>PM</w:t>
                  </w:r>
                  <w:r>
                    <w:rPr>
                      <w:rFonts w:hint="eastAsia"/>
                      <w:bCs/>
                      <w:szCs w:val="21"/>
                      <w:vertAlign w:val="subscript"/>
                    </w:rPr>
                    <w:t>2.5</w:t>
                  </w:r>
                </w:p>
              </w:tc>
              <w:tc>
                <w:tcPr>
                  <w:tcW w:w="1525" w:type="pct"/>
                  <w:vAlign w:val="center"/>
                </w:tcPr>
                <w:p>
                  <w:pPr>
                    <w:pStyle w:val="14"/>
                    <w:jc w:val="center"/>
                    <w:rPr>
                      <w:rFonts w:ascii="Times New Roman" w:hAnsi="Times New Roman"/>
                      <w:bCs/>
                      <w:szCs w:val="21"/>
                    </w:rPr>
                  </w:pPr>
                  <w:r>
                    <w:rPr>
                      <w:rFonts w:ascii="Times New Roman" w:hAnsi="宋体"/>
                      <w:bCs/>
                      <w:szCs w:val="21"/>
                    </w:rPr>
                    <w:t>年平均</w:t>
                  </w:r>
                </w:p>
              </w:tc>
              <w:tc>
                <w:tcPr>
                  <w:tcW w:w="933" w:type="pct"/>
                  <w:vAlign w:val="center"/>
                </w:tcPr>
                <w:p>
                  <w:pPr>
                    <w:pStyle w:val="14"/>
                    <w:jc w:val="center"/>
                    <w:rPr>
                      <w:rFonts w:ascii="Times New Roman" w:hAnsi="Times New Roman" w:eastAsia="宋体"/>
                      <w:bCs/>
                      <w:szCs w:val="21"/>
                    </w:rPr>
                  </w:pPr>
                  <w:r>
                    <w:rPr>
                      <w:rFonts w:hint="eastAsia" w:ascii="Times New Roman" w:hAnsi="Times New Roman"/>
                      <w:bCs/>
                      <w:szCs w:val="21"/>
                    </w:rPr>
                    <w:t>35</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vAlign w:val="center"/>
                </w:tcPr>
                <w:p>
                  <w:pPr>
                    <w:jc w:val="center"/>
                    <w:rPr>
                      <w:bCs/>
                      <w:szCs w:val="21"/>
                    </w:rPr>
                  </w:pPr>
                </w:p>
              </w:tc>
              <w:tc>
                <w:tcPr>
                  <w:tcW w:w="1525" w:type="pct"/>
                  <w:vAlign w:val="center"/>
                </w:tcPr>
                <w:p>
                  <w:pPr>
                    <w:pStyle w:val="14"/>
                    <w:jc w:val="center"/>
                    <w:rPr>
                      <w:rFonts w:ascii="Times New Roman" w:hAnsi="Times New Roman"/>
                      <w:bCs/>
                      <w:szCs w:val="21"/>
                    </w:rPr>
                  </w:pPr>
                  <w:r>
                    <w:rPr>
                      <w:rFonts w:ascii="Times New Roman" w:hAnsi="Times New Roman"/>
                      <w:bCs/>
                      <w:szCs w:val="21"/>
                    </w:rPr>
                    <w:t>24</w:t>
                  </w:r>
                  <w:r>
                    <w:rPr>
                      <w:rFonts w:ascii="Times New Roman" w:hAnsi="宋体"/>
                      <w:bCs/>
                      <w:szCs w:val="21"/>
                    </w:rPr>
                    <w:t>小时平均</w:t>
                  </w:r>
                </w:p>
              </w:tc>
              <w:tc>
                <w:tcPr>
                  <w:tcW w:w="933" w:type="pct"/>
                  <w:vAlign w:val="center"/>
                </w:tcPr>
                <w:p>
                  <w:pPr>
                    <w:pStyle w:val="14"/>
                    <w:jc w:val="center"/>
                    <w:rPr>
                      <w:rFonts w:ascii="Times New Roman" w:hAnsi="Times New Roman" w:eastAsia="宋体"/>
                      <w:bCs/>
                      <w:szCs w:val="21"/>
                    </w:rPr>
                  </w:pPr>
                  <w:r>
                    <w:rPr>
                      <w:rFonts w:hint="eastAsia" w:ascii="Times New Roman" w:hAnsi="Times New Roman"/>
                      <w:bCs/>
                      <w:szCs w:val="21"/>
                    </w:rPr>
                    <w:t>75</w:t>
                  </w:r>
                </w:p>
              </w:tc>
              <w:tc>
                <w:tcPr>
                  <w:tcW w:w="1571" w:type="pct"/>
                  <w:vMerge w:val="continue"/>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97" w:hRule="atLeast"/>
              </w:trPr>
              <w:tc>
                <w:tcPr>
                  <w:tcW w:w="969" w:type="pct"/>
                  <w:vAlign w:val="center"/>
                </w:tcPr>
                <w:p>
                  <w:pPr>
                    <w:jc w:val="center"/>
                    <w:rPr>
                      <w:bCs/>
                      <w:szCs w:val="21"/>
                    </w:rPr>
                  </w:pPr>
                  <w:r>
                    <w:rPr>
                      <w:rFonts w:hint="eastAsia"/>
                      <w:color w:val="000000" w:themeColor="text1"/>
                      <w:szCs w:val="21"/>
                      <w14:textFill>
                        <w14:solidFill>
                          <w14:schemeClr w14:val="tx1"/>
                        </w14:solidFill>
                      </w14:textFill>
                    </w:rPr>
                    <w:t>非甲烷总烃</w:t>
                  </w:r>
                </w:p>
              </w:tc>
              <w:tc>
                <w:tcPr>
                  <w:tcW w:w="1525" w:type="pct"/>
                  <w:vAlign w:val="center"/>
                </w:tcPr>
                <w:p>
                  <w:pPr>
                    <w:jc w:val="center"/>
                    <w:rPr>
                      <w:bCs/>
                      <w:szCs w:val="21"/>
                    </w:rPr>
                  </w:pPr>
                  <w:r>
                    <w:rPr>
                      <w:color w:val="000000" w:themeColor="text1"/>
                      <w:szCs w:val="21"/>
                      <w14:textFill>
                        <w14:solidFill>
                          <w14:schemeClr w14:val="tx1"/>
                        </w14:solidFill>
                      </w14:textFill>
                    </w:rPr>
                    <w:t>小时浓度限值</w:t>
                  </w:r>
                </w:p>
              </w:tc>
              <w:tc>
                <w:tcPr>
                  <w:tcW w:w="933" w:type="pct"/>
                  <w:vAlign w:val="center"/>
                </w:tcPr>
                <w:p>
                  <w:pPr>
                    <w:jc w:val="center"/>
                    <w:rPr>
                      <w:bCs/>
                      <w:szCs w:val="21"/>
                    </w:rPr>
                  </w:pPr>
                  <w:r>
                    <w:rPr>
                      <w:szCs w:val="21"/>
                    </w:rPr>
                    <w:t>2.0</w:t>
                  </w:r>
                </w:p>
              </w:tc>
              <w:tc>
                <w:tcPr>
                  <w:tcW w:w="1571" w:type="pct"/>
                  <w:vAlign w:val="center"/>
                </w:tcPr>
                <w:p>
                  <w:pPr>
                    <w:jc w:val="center"/>
                    <w:rPr>
                      <w:bCs/>
                      <w:szCs w:val="21"/>
                    </w:rPr>
                  </w:pPr>
                  <w:r>
                    <w:rPr>
                      <w:szCs w:val="21"/>
                    </w:rPr>
                    <w:t>《大气污染物综合排放标准详解》</w:t>
                  </w:r>
                </w:p>
              </w:tc>
            </w:tr>
          </w:tbl>
          <w:p>
            <w:pPr>
              <w:widowControl/>
              <w:adjustRightInd w:val="0"/>
              <w:spacing w:line="360" w:lineRule="auto"/>
              <w:ind w:firstLine="480" w:firstLineChars="200"/>
              <w:rPr>
                <w:sz w:val="24"/>
              </w:rPr>
            </w:pPr>
            <w:r>
              <w:rPr>
                <w:rFonts w:hint="eastAsia"/>
                <w:sz w:val="24"/>
              </w:rPr>
              <w:t>（2）地表水环境：</w:t>
            </w:r>
            <w:bookmarkStart w:id="0" w:name="_Toc23973"/>
            <w:bookmarkStart w:id="1" w:name="_Toc7509"/>
            <w:r>
              <w:rPr>
                <w:rFonts w:hint="eastAsia"/>
                <w:sz w:val="24"/>
                <w:lang w:eastAsia="zh-CN"/>
              </w:rPr>
              <w:t>丰乐河</w:t>
            </w:r>
            <w:r>
              <w:rPr>
                <w:rFonts w:hint="eastAsia"/>
                <w:sz w:val="24"/>
              </w:rPr>
              <w:t>水质执行《地表水环境质量标准》（GB3838-2002）中</w:t>
            </w:r>
            <w:r>
              <w:rPr>
                <w:rFonts w:hint="eastAsia"/>
                <w:sz w:val="24"/>
                <w:lang w:val="en-US" w:eastAsia="zh-CN"/>
              </w:rPr>
              <w:t>III</w:t>
            </w:r>
            <w:r>
              <w:rPr>
                <w:rFonts w:hint="eastAsia"/>
                <w:sz w:val="24"/>
              </w:rPr>
              <w:t>类标准，其标准限值见下表：</w:t>
            </w:r>
          </w:p>
          <w:p>
            <w:pPr>
              <w:widowControl/>
              <w:adjustRightInd w:val="0"/>
              <w:spacing w:line="360" w:lineRule="auto"/>
              <w:jc w:val="center"/>
              <w:rPr>
                <w:rFonts w:eastAsia="宋体" w:cs="Times New Roman"/>
                <w:b/>
                <w:sz w:val="24"/>
              </w:rPr>
            </w:pPr>
            <w:r>
              <w:rPr>
                <w:rFonts w:hint="eastAsia" w:eastAsia="宋体" w:cs="Times New Roman"/>
                <w:b/>
                <w:sz w:val="24"/>
                <w:lang w:val="en-US" w:eastAsia="zh-CN"/>
              </w:rPr>
              <w:t xml:space="preserve">              </w:t>
            </w:r>
            <w:r>
              <w:rPr>
                <w:rFonts w:eastAsia="宋体" w:cs="Times New Roman"/>
                <w:b/>
                <w:sz w:val="24"/>
              </w:rPr>
              <w:t xml:space="preserve">表1.2 地表水环境质量标准      </w:t>
            </w:r>
            <w:r>
              <w:rPr>
                <w:rFonts w:eastAsia="宋体" w:cs="Times New Roman"/>
                <w:bCs/>
                <w:sz w:val="24"/>
              </w:rPr>
              <w:t xml:space="preserve"> 单位：mg/L</w:t>
            </w:r>
          </w:p>
          <w:tbl>
            <w:tblPr>
              <w:tblStyle w:val="2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2"/>
              <w:gridCol w:w="3664"/>
              <w:gridCol w:w="3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699" w:type="pct"/>
                  <w:vAlign w:val="center"/>
                </w:tcPr>
                <w:p>
                  <w:pPr>
                    <w:jc w:val="center"/>
                    <w:rPr>
                      <w:rFonts w:eastAsia="宋体" w:cs="Times New Roman"/>
                      <w:b/>
                      <w:szCs w:val="21"/>
                    </w:rPr>
                  </w:pPr>
                  <w:r>
                    <w:rPr>
                      <w:rFonts w:eastAsia="宋体" w:cs="Times New Roman"/>
                      <w:b/>
                      <w:szCs w:val="21"/>
                    </w:rPr>
                    <w:t>序号</w:t>
                  </w:r>
                </w:p>
              </w:tc>
              <w:tc>
                <w:tcPr>
                  <w:tcW w:w="2166" w:type="pct"/>
                  <w:vAlign w:val="center"/>
                </w:tcPr>
                <w:p>
                  <w:pPr>
                    <w:jc w:val="center"/>
                    <w:rPr>
                      <w:rFonts w:eastAsia="宋体" w:cs="Times New Roman"/>
                      <w:b/>
                      <w:szCs w:val="21"/>
                    </w:rPr>
                  </w:pPr>
                  <w:r>
                    <w:rPr>
                      <w:rFonts w:eastAsia="宋体" w:cs="Times New Roman"/>
                      <w:b/>
                      <w:szCs w:val="21"/>
                    </w:rPr>
                    <w:t>污染因子</w:t>
                  </w:r>
                </w:p>
              </w:tc>
              <w:tc>
                <w:tcPr>
                  <w:tcW w:w="2134" w:type="pct"/>
                  <w:vAlign w:val="center"/>
                </w:tcPr>
                <w:p>
                  <w:pPr>
                    <w:jc w:val="center"/>
                    <w:rPr>
                      <w:rFonts w:eastAsia="宋体" w:cs="Times New Roman"/>
                      <w:b/>
                      <w:szCs w:val="21"/>
                    </w:rPr>
                  </w:pPr>
                  <w:r>
                    <w:rPr>
                      <w:rFonts w:hint="eastAsia" w:eastAsia="宋体" w:cs="Times New Roman"/>
                      <w:b/>
                      <w:szCs w:val="21"/>
                    </w:rPr>
                    <w:t>IV</w:t>
                  </w:r>
                  <w:r>
                    <w:rPr>
                      <w:rFonts w:eastAsia="宋体" w:cs="Times New Roman"/>
                      <w:b/>
                      <w:szCs w:val="21"/>
                    </w:rPr>
                    <w:t>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699" w:type="pct"/>
                  <w:vAlign w:val="center"/>
                </w:tcPr>
                <w:p>
                  <w:pPr>
                    <w:jc w:val="center"/>
                    <w:rPr>
                      <w:rFonts w:eastAsia="宋体" w:cs="Times New Roman"/>
                      <w:szCs w:val="21"/>
                    </w:rPr>
                  </w:pPr>
                  <w:r>
                    <w:rPr>
                      <w:rFonts w:eastAsia="宋体" w:cs="Times New Roman"/>
                      <w:szCs w:val="21"/>
                    </w:rPr>
                    <w:t>1</w:t>
                  </w:r>
                </w:p>
              </w:tc>
              <w:tc>
                <w:tcPr>
                  <w:tcW w:w="2166" w:type="pct"/>
                  <w:vAlign w:val="center"/>
                </w:tcPr>
                <w:p>
                  <w:pPr>
                    <w:jc w:val="center"/>
                    <w:rPr>
                      <w:rFonts w:eastAsia="宋体" w:cs="Times New Roman"/>
                      <w:szCs w:val="21"/>
                    </w:rPr>
                  </w:pPr>
                  <w:r>
                    <w:rPr>
                      <w:rFonts w:eastAsia="宋体" w:cs="Times New Roman"/>
                      <w:szCs w:val="21"/>
                    </w:rPr>
                    <w:t>pH（无量纲）</w:t>
                  </w:r>
                </w:p>
              </w:tc>
              <w:tc>
                <w:tcPr>
                  <w:tcW w:w="2134" w:type="pct"/>
                  <w:vAlign w:val="center"/>
                </w:tcPr>
                <w:p>
                  <w:pPr>
                    <w:jc w:val="center"/>
                    <w:rPr>
                      <w:rFonts w:eastAsia="宋体" w:cs="Times New Roman"/>
                      <w:szCs w:val="21"/>
                    </w:rPr>
                  </w:pPr>
                  <w:r>
                    <w:rPr>
                      <w:rFonts w:eastAsia="宋体"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699" w:type="pct"/>
                  <w:vAlign w:val="center"/>
                </w:tcPr>
                <w:p>
                  <w:pPr>
                    <w:jc w:val="center"/>
                    <w:rPr>
                      <w:rFonts w:eastAsia="宋体" w:cs="Times New Roman"/>
                      <w:szCs w:val="21"/>
                    </w:rPr>
                  </w:pPr>
                  <w:r>
                    <w:rPr>
                      <w:rFonts w:eastAsia="宋体" w:cs="Times New Roman"/>
                      <w:szCs w:val="21"/>
                    </w:rPr>
                    <w:t>2</w:t>
                  </w:r>
                </w:p>
              </w:tc>
              <w:tc>
                <w:tcPr>
                  <w:tcW w:w="2166" w:type="pct"/>
                  <w:vAlign w:val="center"/>
                </w:tcPr>
                <w:p>
                  <w:pPr>
                    <w:jc w:val="center"/>
                    <w:rPr>
                      <w:rFonts w:eastAsia="宋体" w:cs="Times New Roman"/>
                      <w:szCs w:val="21"/>
                    </w:rPr>
                  </w:pPr>
                  <w:r>
                    <w:rPr>
                      <w:rFonts w:eastAsia="宋体" w:cs="Times New Roman"/>
                      <w:szCs w:val="21"/>
                    </w:rPr>
                    <w:t>COD</w:t>
                  </w:r>
                </w:p>
              </w:tc>
              <w:tc>
                <w:tcPr>
                  <w:tcW w:w="2134" w:type="pct"/>
                  <w:vAlign w:val="center"/>
                </w:tcPr>
                <w:p>
                  <w:pPr>
                    <w:jc w:val="center"/>
                    <w:rPr>
                      <w:rFonts w:hint="default" w:eastAsia="宋体" w:cs="Times New Roman"/>
                      <w:szCs w:val="21"/>
                      <w:lang w:val="en-US" w:eastAsia="zh-CN"/>
                    </w:rPr>
                  </w:pPr>
                  <w:r>
                    <w:rPr>
                      <w:rFonts w:eastAsia="宋体" w:cs="Times New Roman"/>
                      <w:szCs w:val="21"/>
                    </w:rPr>
                    <w:t>≤</w:t>
                  </w:r>
                  <w:r>
                    <w:rPr>
                      <w:rFonts w:hint="eastAsia" w:eastAsia="宋体" w:cs="Times New Roman"/>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9" w:type="pct"/>
                  <w:vAlign w:val="center"/>
                </w:tcPr>
                <w:p>
                  <w:pPr>
                    <w:jc w:val="center"/>
                    <w:rPr>
                      <w:rFonts w:eastAsia="宋体" w:cs="Times New Roman"/>
                      <w:szCs w:val="21"/>
                    </w:rPr>
                  </w:pPr>
                  <w:r>
                    <w:rPr>
                      <w:rFonts w:eastAsia="宋体" w:cs="Times New Roman"/>
                      <w:szCs w:val="21"/>
                    </w:rPr>
                    <w:t>3</w:t>
                  </w:r>
                </w:p>
              </w:tc>
              <w:tc>
                <w:tcPr>
                  <w:tcW w:w="2166" w:type="pct"/>
                  <w:vAlign w:val="center"/>
                </w:tcPr>
                <w:p>
                  <w:pPr>
                    <w:jc w:val="center"/>
                    <w:rPr>
                      <w:rFonts w:eastAsia="宋体" w:cs="Times New Roman"/>
                      <w:szCs w:val="21"/>
                    </w:rPr>
                  </w:pPr>
                  <w:r>
                    <w:rPr>
                      <w:rFonts w:eastAsia="宋体" w:cs="Times New Roman"/>
                      <w:szCs w:val="21"/>
                    </w:rPr>
                    <w:t>BOD</w:t>
                  </w:r>
                  <w:r>
                    <w:rPr>
                      <w:rFonts w:eastAsia="宋体" w:cs="Times New Roman"/>
                      <w:szCs w:val="21"/>
                      <w:vertAlign w:val="subscript"/>
                    </w:rPr>
                    <w:t>5</w:t>
                  </w:r>
                </w:p>
              </w:tc>
              <w:tc>
                <w:tcPr>
                  <w:tcW w:w="2134" w:type="pct"/>
                  <w:vAlign w:val="center"/>
                </w:tcPr>
                <w:p>
                  <w:pPr>
                    <w:jc w:val="center"/>
                    <w:rPr>
                      <w:rFonts w:hint="eastAsia" w:eastAsia="宋体" w:cs="Times New Roman"/>
                      <w:szCs w:val="21"/>
                      <w:lang w:eastAsia="zh-CN"/>
                    </w:rPr>
                  </w:pPr>
                  <w:r>
                    <w:rPr>
                      <w:rFonts w:eastAsia="宋体" w:cs="Times New Roman"/>
                      <w:szCs w:val="21"/>
                    </w:rPr>
                    <w:t>≤</w:t>
                  </w:r>
                  <w:r>
                    <w:rPr>
                      <w:rFonts w:hint="eastAsia" w:eastAsia="宋体" w:cs="Times New Roman"/>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99" w:type="pct"/>
                  <w:vAlign w:val="center"/>
                </w:tcPr>
                <w:p>
                  <w:pPr>
                    <w:jc w:val="center"/>
                    <w:rPr>
                      <w:rFonts w:eastAsia="宋体" w:cs="Times New Roman"/>
                      <w:szCs w:val="21"/>
                    </w:rPr>
                  </w:pPr>
                  <w:r>
                    <w:rPr>
                      <w:rFonts w:eastAsia="宋体" w:cs="Times New Roman"/>
                      <w:szCs w:val="21"/>
                    </w:rPr>
                    <w:t>4</w:t>
                  </w:r>
                </w:p>
              </w:tc>
              <w:tc>
                <w:tcPr>
                  <w:tcW w:w="2166" w:type="pct"/>
                  <w:vAlign w:val="center"/>
                </w:tcPr>
                <w:p>
                  <w:pPr>
                    <w:jc w:val="center"/>
                    <w:rPr>
                      <w:rFonts w:eastAsia="宋体" w:cs="Times New Roman"/>
                      <w:szCs w:val="21"/>
                    </w:rPr>
                  </w:pPr>
                  <w:r>
                    <w:rPr>
                      <w:rFonts w:eastAsia="宋体" w:cs="Times New Roman"/>
                      <w:szCs w:val="21"/>
                    </w:rPr>
                    <w:t>NH</w:t>
                  </w:r>
                  <w:r>
                    <w:rPr>
                      <w:rFonts w:eastAsia="宋体" w:cs="Times New Roman"/>
                      <w:szCs w:val="21"/>
                      <w:vertAlign w:val="subscript"/>
                    </w:rPr>
                    <w:t>3</w:t>
                  </w:r>
                  <w:r>
                    <w:rPr>
                      <w:rFonts w:eastAsia="宋体" w:cs="Times New Roman"/>
                      <w:szCs w:val="21"/>
                    </w:rPr>
                    <w:t>-N</w:t>
                  </w:r>
                </w:p>
              </w:tc>
              <w:tc>
                <w:tcPr>
                  <w:tcW w:w="2134" w:type="pct"/>
                  <w:vAlign w:val="center"/>
                </w:tcPr>
                <w:p>
                  <w:pPr>
                    <w:jc w:val="center"/>
                    <w:rPr>
                      <w:rFonts w:hint="default" w:eastAsia="宋体" w:cs="Times New Roman"/>
                      <w:szCs w:val="21"/>
                      <w:lang w:val="en-US" w:eastAsia="zh-CN"/>
                    </w:rPr>
                  </w:pPr>
                  <w:r>
                    <w:rPr>
                      <w:rFonts w:eastAsia="宋体" w:cs="Times New Roman"/>
                      <w:szCs w:val="21"/>
                    </w:rPr>
                    <w:t>≤1</w:t>
                  </w:r>
                  <w:r>
                    <w:rPr>
                      <w:rFonts w:hint="eastAsia" w:eastAsia="宋体" w:cs="Times New Roman"/>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99" w:type="pct"/>
                  <w:vAlign w:val="center"/>
                </w:tcPr>
                <w:p>
                  <w:pPr>
                    <w:jc w:val="center"/>
                    <w:rPr>
                      <w:rFonts w:hint="eastAsia" w:eastAsia="宋体" w:cs="Times New Roman"/>
                      <w:szCs w:val="21"/>
                      <w:lang w:val="en-US" w:eastAsia="zh-CN"/>
                    </w:rPr>
                  </w:pPr>
                  <w:r>
                    <w:rPr>
                      <w:rFonts w:hint="eastAsia" w:eastAsia="宋体" w:cs="Times New Roman"/>
                      <w:szCs w:val="21"/>
                      <w:lang w:val="en-US" w:eastAsia="zh-CN"/>
                    </w:rPr>
                    <w:t>5</w:t>
                  </w:r>
                </w:p>
              </w:tc>
              <w:tc>
                <w:tcPr>
                  <w:tcW w:w="2166" w:type="pct"/>
                  <w:vAlign w:val="center"/>
                </w:tcPr>
                <w:p>
                  <w:pPr>
                    <w:jc w:val="center"/>
                    <w:rPr>
                      <w:rFonts w:hint="eastAsia" w:eastAsia="宋体" w:cs="Times New Roman"/>
                      <w:szCs w:val="21"/>
                      <w:lang w:val="en-US" w:eastAsia="zh-CN"/>
                    </w:rPr>
                  </w:pPr>
                  <w:r>
                    <w:rPr>
                      <w:rFonts w:hint="eastAsia" w:eastAsia="宋体" w:cs="Times New Roman"/>
                      <w:szCs w:val="21"/>
                      <w:lang w:eastAsia="zh-CN"/>
                    </w:rPr>
                    <w:t>总磷（以</w:t>
                  </w:r>
                  <w:r>
                    <w:rPr>
                      <w:rFonts w:hint="eastAsia" w:eastAsia="宋体" w:cs="Times New Roman"/>
                      <w:szCs w:val="21"/>
                      <w:lang w:val="en-US" w:eastAsia="zh-CN"/>
                    </w:rPr>
                    <w:t>P计）</w:t>
                  </w:r>
                </w:p>
              </w:tc>
              <w:tc>
                <w:tcPr>
                  <w:tcW w:w="2134" w:type="pct"/>
                  <w:vAlign w:val="center"/>
                </w:tcPr>
                <w:p>
                  <w:pPr>
                    <w:jc w:val="center"/>
                    <w:rPr>
                      <w:rFonts w:hint="eastAsia" w:eastAsia="宋体" w:cs="Times New Roman"/>
                      <w:szCs w:val="21"/>
                      <w:lang w:val="en-US" w:eastAsia="zh-CN"/>
                    </w:rPr>
                  </w:pPr>
                  <w:r>
                    <w:rPr>
                      <w:rFonts w:eastAsia="宋体" w:cs="Times New Roman"/>
                      <w:szCs w:val="21"/>
                    </w:rPr>
                    <w:t>≤</w:t>
                  </w:r>
                  <w:r>
                    <w:rPr>
                      <w:rFonts w:hint="eastAsia" w:eastAsia="宋体" w:cs="Times New Roman"/>
                      <w:szCs w:val="21"/>
                      <w:lang w:val="en-US" w:eastAsia="zh-CN"/>
                    </w:rPr>
                    <w:t>0.2（湖、库</w:t>
                  </w:r>
                  <w:r>
                    <w:rPr>
                      <w:rFonts w:eastAsia="宋体" w:cs="Times New Roman"/>
                      <w:szCs w:val="21"/>
                    </w:rPr>
                    <w:t>≤</w:t>
                  </w:r>
                  <w:r>
                    <w:rPr>
                      <w:rFonts w:hint="eastAsia" w:eastAsia="宋体" w:cs="Times New Roman"/>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99" w:type="pct"/>
                  <w:vAlign w:val="center"/>
                </w:tcPr>
                <w:p>
                  <w:pPr>
                    <w:jc w:val="center"/>
                    <w:rPr>
                      <w:rFonts w:hint="eastAsia" w:eastAsia="宋体" w:cs="Times New Roman"/>
                      <w:szCs w:val="21"/>
                      <w:lang w:eastAsia="zh-CN"/>
                    </w:rPr>
                  </w:pPr>
                  <w:r>
                    <w:rPr>
                      <w:rFonts w:hint="eastAsia" w:eastAsia="宋体" w:cs="Times New Roman"/>
                      <w:szCs w:val="21"/>
                      <w:lang w:val="en-US" w:eastAsia="zh-CN"/>
                    </w:rPr>
                    <w:t>6</w:t>
                  </w:r>
                </w:p>
              </w:tc>
              <w:tc>
                <w:tcPr>
                  <w:tcW w:w="2166" w:type="pct"/>
                  <w:vAlign w:val="center"/>
                </w:tcPr>
                <w:p>
                  <w:pPr>
                    <w:jc w:val="center"/>
                    <w:rPr>
                      <w:rFonts w:hint="eastAsia" w:eastAsia="宋体" w:cs="Times New Roman"/>
                      <w:szCs w:val="21"/>
                      <w:lang w:val="en-US" w:eastAsia="zh-CN"/>
                    </w:rPr>
                  </w:pPr>
                  <w:r>
                    <w:rPr>
                      <w:rFonts w:hint="eastAsia" w:eastAsia="宋体" w:cs="Times New Roman"/>
                      <w:szCs w:val="21"/>
                      <w:lang w:val="en-US" w:eastAsia="zh-CN"/>
                    </w:rPr>
                    <w:t>总氮（湖、库，以N计）</w:t>
                  </w:r>
                </w:p>
              </w:tc>
              <w:tc>
                <w:tcPr>
                  <w:tcW w:w="2134" w:type="pct"/>
                  <w:vAlign w:val="center"/>
                </w:tcPr>
                <w:p>
                  <w:pPr>
                    <w:jc w:val="center"/>
                    <w:rPr>
                      <w:rFonts w:hint="default" w:eastAsia="宋体" w:cs="Times New Roman"/>
                      <w:szCs w:val="21"/>
                      <w:lang w:val="en-US" w:eastAsia="zh-CN"/>
                    </w:rPr>
                  </w:pPr>
                  <w:r>
                    <w:rPr>
                      <w:rFonts w:eastAsia="宋体" w:cs="Times New Roman"/>
                      <w:szCs w:val="21"/>
                    </w:rPr>
                    <w:t>≤</w:t>
                  </w:r>
                  <w:r>
                    <w:rPr>
                      <w:rFonts w:hint="eastAsia" w:eastAsia="宋体" w:cs="Times New Roman"/>
                      <w:szCs w:val="21"/>
                      <w:lang w:val="en-US" w:eastAsia="zh-CN"/>
                    </w:rPr>
                    <w:t>1.0</w:t>
                  </w:r>
                </w:p>
              </w:tc>
            </w:tr>
          </w:tbl>
          <w:p>
            <w:pPr>
              <w:wordWrap w:val="0"/>
              <w:adjustRightInd w:val="0"/>
              <w:snapToGrid w:val="0"/>
              <w:spacing w:line="480" w:lineRule="exact"/>
              <w:ind w:firstLine="480" w:firstLineChars="200"/>
              <w:rPr>
                <w:sz w:val="24"/>
              </w:rPr>
            </w:pPr>
            <w:r>
              <w:rPr>
                <w:rFonts w:hint="eastAsia"/>
                <w:sz w:val="24"/>
              </w:rPr>
              <w:t>（3）声环境：</w:t>
            </w:r>
            <w:bookmarkEnd w:id="0"/>
            <w:bookmarkEnd w:id="1"/>
            <w:r>
              <w:rPr>
                <w:rFonts w:hint="eastAsia"/>
                <w:sz w:val="24"/>
              </w:rPr>
              <w:t>项目区声环境执行《声环境质量标准》（</w:t>
            </w:r>
            <w:r>
              <w:rPr>
                <w:sz w:val="24"/>
              </w:rPr>
              <w:t>GB3096-2008</w:t>
            </w:r>
            <w:r>
              <w:rPr>
                <w:rFonts w:hint="eastAsia"/>
                <w:sz w:val="24"/>
              </w:rPr>
              <w:t>）中</w:t>
            </w:r>
            <w:r>
              <w:rPr>
                <w:rFonts w:hint="eastAsia"/>
                <w:sz w:val="24"/>
                <w:lang w:val="en-US" w:eastAsia="zh-CN"/>
              </w:rPr>
              <w:t>3</w:t>
            </w:r>
            <w:r>
              <w:rPr>
                <w:rFonts w:hint="eastAsia"/>
                <w:sz w:val="24"/>
              </w:rPr>
              <w:t>类区标准</w:t>
            </w:r>
            <w:r>
              <w:rPr>
                <w:rFonts w:hint="eastAsia"/>
                <w:sz w:val="24"/>
                <w:lang w:eastAsia="zh-CN"/>
              </w:rPr>
              <w:t>，</w:t>
            </w:r>
            <w:r>
              <w:rPr>
                <w:rFonts w:hint="eastAsia"/>
                <w:sz w:val="24"/>
              </w:rPr>
              <w:t>其标准限值见下表。</w:t>
            </w:r>
          </w:p>
          <w:p>
            <w:pPr>
              <w:spacing w:line="480" w:lineRule="exact"/>
              <w:ind w:firstLine="472" w:firstLineChars="196"/>
              <w:jc w:val="center"/>
              <w:rPr>
                <w:b/>
                <w:bCs/>
                <w:sz w:val="24"/>
              </w:rPr>
            </w:pPr>
            <w:r>
              <w:rPr>
                <w:rFonts w:hint="eastAsia"/>
                <w:b/>
                <w:bCs/>
                <w:sz w:val="24"/>
                <w:lang w:val="en-US" w:eastAsia="zh-CN"/>
              </w:rPr>
              <w:t xml:space="preserve">        </w:t>
            </w:r>
            <w:r>
              <w:rPr>
                <w:rFonts w:hint="eastAsia"/>
                <w:b/>
                <w:bCs/>
                <w:sz w:val="24"/>
              </w:rPr>
              <w:t>表1.3</w:t>
            </w:r>
            <w:r>
              <w:rPr>
                <w:b/>
                <w:bCs/>
                <w:sz w:val="24"/>
              </w:rPr>
              <w:t xml:space="preserve">  </w:t>
            </w:r>
            <w:r>
              <w:rPr>
                <w:rFonts w:hint="eastAsia"/>
                <w:b/>
                <w:bCs/>
                <w:sz w:val="24"/>
              </w:rPr>
              <w:t xml:space="preserve">声环境质量标准      </w:t>
            </w:r>
            <w:r>
              <w:rPr>
                <w:rFonts w:hint="eastAsia"/>
                <w:sz w:val="24"/>
              </w:rPr>
              <w:t>单位：</w:t>
            </w:r>
            <w:r>
              <w:rPr>
                <w:sz w:val="24"/>
              </w:rPr>
              <w:t>dB</w:t>
            </w:r>
            <w:r>
              <w:rPr>
                <w:rFonts w:hint="eastAsia"/>
                <w:sz w:val="24"/>
              </w:rPr>
              <w:t>（</w:t>
            </w:r>
            <w:r>
              <w:rPr>
                <w:sz w:val="24"/>
              </w:rPr>
              <w:t>A</w:t>
            </w:r>
            <w:r>
              <w:rPr>
                <w:rFonts w:hint="eastAsia"/>
                <w:sz w:val="24"/>
              </w:rPr>
              <w:t>）</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1"/>
              <w:gridCol w:w="2559"/>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98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类别</w:t>
                  </w:r>
                </w:p>
              </w:tc>
              <w:tc>
                <w:tcPr>
                  <w:tcW w:w="151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昼间</w:t>
                  </w:r>
                </w:p>
              </w:tc>
              <w:tc>
                <w:tcPr>
                  <w:tcW w:w="149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7" w:type="pct"/>
                  <w:tcBorders>
                    <w:top w:val="single" w:color="auto" w:sz="4" w:space="0"/>
                    <w:left w:val="single" w:color="auto" w:sz="4" w:space="0"/>
                    <w:bottom w:val="single" w:color="auto" w:sz="4" w:space="0"/>
                    <w:right w:val="single" w:color="auto" w:sz="4" w:space="0"/>
                  </w:tcBorders>
                  <w:vAlign w:val="center"/>
                </w:tcPr>
                <w:p>
                  <w:pPr>
                    <w:adjustRightInd w:val="0"/>
                    <w:snapToGrid w:val="0"/>
                  </w:pPr>
                  <w:r>
                    <w:rPr>
                      <w:rFonts w:hint="eastAsia"/>
                    </w:rPr>
                    <w:t>（</w:t>
                  </w:r>
                  <w:r>
                    <w:t>GB3096-2008</w:t>
                  </w:r>
                  <w:r>
                    <w:rPr>
                      <w:rFonts w:hint="eastAsia"/>
                    </w:rPr>
                    <w:t>）</w:t>
                  </w:r>
                  <w:r>
                    <w:rPr>
                      <w:rFonts w:hint="eastAsia"/>
                      <w:lang w:val="en-US" w:eastAsia="zh-CN"/>
                    </w:rPr>
                    <w:t>3</w:t>
                  </w:r>
                  <w:r>
                    <w:rPr>
                      <w:rFonts w:hint="eastAsia"/>
                    </w:rPr>
                    <w:t>类限值</w:t>
                  </w:r>
                </w:p>
              </w:tc>
              <w:tc>
                <w:tcPr>
                  <w:tcW w:w="151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eastAsiaTheme="minorEastAsia"/>
                      <w:lang w:val="en-US" w:eastAsia="zh-CN"/>
                    </w:rPr>
                  </w:pPr>
                  <w:r>
                    <w:rPr>
                      <w:rFonts w:hint="eastAsia"/>
                      <w:lang w:val="en-US" w:eastAsia="zh-CN"/>
                    </w:rPr>
                    <w:t>65</w:t>
                  </w:r>
                </w:p>
              </w:tc>
              <w:tc>
                <w:tcPr>
                  <w:tcW w:w="149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eastAsiaTheme="minorEastAsia"/>
                      <w:lang w:val="en-US" w:eastAsia="zh-CN"/>
                    </w:rPr>
                  </w:pPr>
                  <w:r>
                    <w:rPr>
                      <w:rFonts w:hint="eastAsia"/>
                      <w:lang w:val="en-US" w:eastAsia="zh-CN"/>
                    </w:rPr>
                    <w:t>55</w:t>
                  </w:r>
                </w:p>
              </w:tc>
            </w:tr>
          </w:tbl>
          <w:p>
            <w:pPr>
              <w:wordWrap w:val="0"/>
              <w:adjustRightInd w:val="0"/>
              <w:snapToGrid w:val="0"/>
              <w:spacing w:line="480" w:lineRule="exact"/>
              <w:rPr>
                <w:rFonts w:hint="eastAsia"/>
                <w:b/>
                <w:bCs/>
                <w:sz w:val="24"/>
                <w:lang w:val="en-US" w:eastAsia="zh-CN"/>
              </w:rPr>
            </w:pPr>
          </w:p>
          <w:p>
            <w:pPr>
              <w:wordWrap w:val="0"/>
              <w:adjustRightInd w:val="0"/>
              <w:snapToGrid w:val="0"/>
              <w:spacing w:line="480" w:lineRule="exact"/>
              <w:rPr>
                <w:rFonts w:hint="eastAsia"/>
                <w:b/>
                <w:bCs/>
                <w:sz w:val="24"/>
              </w:rPr>
            </w:pPr>
            <w:r>
              <w:rPr>
                <w:rFonts w:hint="eastAsia"/>
                <w:b/>
                <w:bCs/>
                <w:sz w:val="24"/>
                <w:lang w:val="en-US" w:eastAsia="zh-CN"/>
              </w:rPr>
              <w:t>2、</w:t>
            </w:r>
            <w:r>
              <w:rPr>
                <w:rFonts w:hint="eastAsia"/>
                <w:b/>
                <w:bCs/>
                <w:sz w:val="24"/>
              </w:rPr>
              <w:t>污染物排放标准：</w:t>
            </w:r>
          </w:p>
          <w:p>
            <w:pPr>
              <w:spacing w:line="360" w:lineRule="auto"/>
              <w:ind w:firstLine="480" w:firstLineChars="200"/>
              <w:rPr>
                <w:b w:val="0"/>
                <w:bCs w:val="0"/>
                <w:sz w:val="24"/>
              </w:rPr>
            </w:pPr>
            <w:r>
              <w:rPr>
                <w:rFonts w:hint="eastAsia"/>
                <w:b w:val="0"/>
                <w:bCs w:val="0"/>
                <w:sz w:val="24"/>
                <w:lang w:eastAsia="zh-CN"/>
              </w:rPr>
              <w:t>（</w:t>
            </w:r>
            <w:r>
              <w:rPr>
                <w:rFonts w:hint="eastAsia"/>
                <w:b w:val="0"/>
                <w:bCs w:val="0"/>
                <w:sz w:val="24"/>
                <w:lang w:val="en-US" w:eastAsia="zh-CN"/>
              </w:rPr>
              <w:t>1）</w:t>
            </w:r>
            <w:r>
              <w:rPr>
                <w:b w:val="0"/>
                <w:bCs w:val="0"/>
                <w:sz w:val="24"/>
              </w:rPr>
              <w:t>废</w:t>
            </w:r>
            <w:r>
              <w:rPr>
                <w:rFonts w:hint="eastAsia"/>
                <w:b w:val="0"/>
                <w:bCs w:val="0"/>
                <w:sz w:val="24"/>
              </w:rPr>
              <w:t>气</w:t>
            </w:r>
            <w:r>
              <w:rPr>
                <w:b w:val="0"/>
                <w:bCs w:val="0"/>
                <w:sz w:val="24"/>
              </w:rPr>
              <w:t>排放标准</w:t>
            </w:r>
          </w:p>
          <w:p>
            <w:pPr>
              <w:spacing w:line="360" w:lineRule="auto"/>
              <w:ind w:firstLine="480" w:firstLineChars="200"/>
              <w:rPr>
                <w:rFonts w:hint="eastAsia"/>
                <w:sz w:val="24"/>
              </w:rPr>
            </w:pPr>
            <w:r>
              <w:rPr>
                <w:rFonts w:hint="eastAsia"/>
                <w:sz w:val="24"/>
              </w:rPr>
              <w:t>项目产生的颗粒物、</w:t>
            </w:r>
            <w:r>
              <w:rPr>
                <w:rFonts w:hint="eastAsia"/>
                <w:sz w:val="24"/>
                <w:lang w:eastAsia="zh-CN"/>
              </w:rPr>
              <w:t>二甲苯、</w:t>
            </w:r>
            <w:r>
              <w:rPr>
                <w:rFonts w:hint="eastAsia"/>
                <w:sz w:val="24"/>
              </w:rPr>
              <w:t>VOCs排放执行上海市地方标准《大气污染物综合排放标准》（DB31/933-2015），厂区内VOCs无组织排放监控点浓度执行《挥发性有机物无组织排放控制标准》（GB37822-2019）特别排放限值；项目大气污染物排放执行标准详见下表：</w:t>
            </w:r>
          </w:p>
          <w:p>
            <w:pPr>
              <w:ind w:firstLine="482"/>
              <w:jc w:val="center"/>
              <w:rPr>
                <w:b/>
              </w:rPr>
            </w:pPr>
            <w:r>
              <w:rPr>
                <w:rFonts w:hAnsi="宋体"/>
                <w:b/>
                <w:sz w:val="24"/>
              </w:rPr>
              <w:t>表</w:t>
            </w:r>
            <w:r>
              <w:rPr>
                <w:rFonts w:hint="eastAsia"/>
                <w:b/>
                <w:sz w:val="24"/>
                <w:lang w:val="en-US" w:eastAsia="zh-CN"/>
              </w:rPr>
              <w:t>1.4</w:t>
            </w:r>
            <w:r>
              <w:rPr>
                <w:b/>
                <w:sz w:val="24"/>
              </w:rPr>
              <w:t xml:space="preserve"> </w:t>
            </w:r>
            <w:r>
              <w:rPr>
                <w:rFonts w:hAnsi="宋体"/>
                <w:b/>
                <w:sz w:val="24"/>
              </w:rPr>
              <w:t>大气污染物综合排放标准</w:t>
            </w:r>
          </w:p>
          <w:tbl>
            <w:tblPr>
              <w:tblStyle w:val="21"/>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6"/>
              <w:gridCol w:w="2042"/>
              <w:gridCol w:w="1732"/>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166"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污染物项目</w:t>
                  </w:r>
                </w:p>
              </w:tc>
              <w:tc>
                <w:tcPr>
                  <w:tcW w:w="204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最高允许排放浓度（mg/m</w:t>
                  </w:r>
                  <w:r>
                    <w:rPr>
                      <w:rFonts w:ascii="Times New Roman" w:cs="Times New Roman"/>
                      <w:b w:val="0"/>
                      <w:bCs/>
                      <w:sz w:val="21"/>
                      <w:szCs w:val="21"/>
                      <w:vertAlign w:val="superscript"/>
                    </w:rPr>
                    <w:t>3</w:t>
                  </w:r>
                  <w:r>
                    <w:rPr>
                      <w:rFonts w:ascii="Times New Roman" w:cs="Times New Roman"/>
                      <w:b w:val="0"/>
                      <w:bCs/>
                      <w:sz w:val="21"/>
                      <w:szCs w:val="21"/>
                    </w:rPr>
                    <w:t>）</w:t>
                  </w:r>
                </w:p>
              </w:tc>
              <w:tc>
                <w:tcPr>
                  <w:tcW w:w="173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最高允许排放速率（kg/h）</w:t>
                  </w:r>
                </w:p>
              </w:tc>
              <w:tc>
                <w:tcPr>
                  <w:tcW w:w="2520"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厂界大气污染物监控点浓度限值（mg/m</w:t>
                  </w:r>
                  <w:r>
                    <w:rPr>
                      <w:rFonts w:ascii="Times New Roman" w:cs="Times New Roman"/>
                      <w:b w:val="0"/>
                      <w:bCs/>
                      <w:sz w:val="21"/>
                      <w:szCs w:val="21"/>
                      <w:vertAlign w:val="superscript"/>
                    </w:rPr>
                    <w:t>3</w:t>
                  </w:r>
                  <w:r>
                    <w:rPr>
                      <w:rFonts w:ascii="Times New Roman" w:cs="Times New Roman"/>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66"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非甲烷总烃</w:t>
                  </w:r>
                  <w:r>
                    <w:rPr>
                      <w:rFonts w:ascii="Times New Roman" w:cs="Times New Roman"/>
                      <w:b w:val="0"/>
                      <w:bCs/>
                      <w:sz w:val="21"/>
                      <w:szCs w:val="21"/>
                      <w:vertAlign w:val="superscript"/>
                    </w:rPr>
                    <w:t>①</w:t>
                  </w:r>
                </w:p>
              </w:tc>
              <w:tc>
                <w:tcPr>
                  <w:tcW w:w="204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70</w:t>
                  </w:r>
                </w:p>
              </w:tc>
              <w:tc>
                <w:tcPr>
                  <w:tcW w:w="173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3.0</w:t>
                  </w:r>
                  <w:r>
                    <w:rPr>
                      <w:rFonts w:ascii="Times New Roman" w:cs="Times New Roman"/>
                      <w:b w:val="0"/>
                      <w:bCs/>
                      <w:sz w:val="21"/>
                      <w:szCs w:val="21"/>
                      <w:vertAlign w:val="superscript"/>
                    </w:rPr>
                    <w:t>②</w:t>
                  </w:r>
                </w:p>
              </w:tc>
              <w:tc>
                <w:tcPr>
                  <w:tcW w:w="2520"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66"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二甲苯</w:t>
                  </w:r>
                </w:p>
              </w:tc>
              <w:tc>
                <w:tcPr>
                  <w:tcW w:w="204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20</w:t>
                  </w:r>
                </w:p>
              </w:tc>
              <w:tc>
                <w:tcPr>
                  <w:tcW w:w="173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0.8</w:t>
                  </w:r>
                </w:p>
              </w:tc>
              <w:tc>
                <w:tcPr>
                  <w:tcW w:w="2520"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66"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颗粒物</w:t>
                  </w:r>
                </w:p>
              </w:tc>
              <w:tc>
                <w:tcPr>
                  <w:tcW w:w="204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20</w:t>
                  </w:r>
                </w:p>
              </w:tc>
              <w:tc>
                <w:tcPr>
                  <w:tcW w:w="1732"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0.8</w:t>
                  </w:r>
                </w:p>
              </w:tc>
              <w:tc>
                <w:tcPr>
                  <w:tcW w:w="2520" w:type="dxa"/>
                  <w:noWrap w:val="0"/>
                  <w:vAlign w:val="center"/>
                </w:tcPr>
                <w:p>
                  <w:pPr>
                    <w:pStyle w:val="2"/>
                    <w:spacing w:line="240" w:lineRule="auto"/>
                    <w:jc w:val="center"/>
                    <w:rPr>
                      <w:rFonts w:ascii="Times New Roman" w:cs="Times New Roman"/>
                      <w:b w:val="0"/>
                      <w:bCs/>
                      <w:sz w:val="21"/>
                      <w:szCs w:val="21"/>
                    </w:rPr>
                  </w:pPr>
                  <w:r>
                    <w:rPr>
                      <w:rFonts w:ascii="Times New Roman" w:cs="Times New Roman"/>
                      <w:b w:val="0"/>
                      <w:bCs/>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60" w:type="dxa"/>
                  <w:gridSpan w:val="4"/>
                  <w:noWrap w:val="0"/>
                  <w:vAlign w:val="center"/>
                </w:tcPr>
                <w:p>
                  <w:pPr>
                    <w:pStyle w:val="2"/>
                    <w:spacing w:line="240" w:lineRule="auto"/>
                    <w:rPr>
                      <w:rFonts w:ascii="Times New Roman" w:cs="Times New Roman"/>
                      <w:b w:val="0"/>
                      <w:bCs/>
                      <w:sz w:val="21"/>
                      <w:szCs w:val="21"/>
                    </w:rPr>
                  </w:pPr>
                  <w:r>
                    <w:rPr>
                      <w:rFonts w:ascii="Times New Roman" w:cs="Times New Roman"/>
                      <w:b w:val="0"/>
                      <w:bCs/>
                      <w:sz w:val="21"/>
                      <w:szCs w:val="21"/>
                    </w:rPr>
                    <w:t>注：①根据标准3.4章节关于挥发性有机物定义中b），以非甲烷总烃（NMHC）作为排气筒、厂界大气污染物监控、厂区内大气污染物监控点以及污染物控制设施去除效率的挥发性有机物的综合性控制指标。</w:t>
                  </w:r>
                </w:p>
                <w:p>
                  <w:pPr>
                    <w:pStyle w:val="2"/>
                    <w:spacing w:line="240" w:lineRule="auto"/>
                    <w:rPr>
                      <w:rFonts w:ascii="Times New Roman" w:cs="Times New Roman"/>
                      <w:b w:val="0"/>
                      <w:bCs/>
                      <w:sz w:val="21"/>
                      <w:szCs w:val="21"/>
                    </w:rPr>
                  </w:pPr>
                  <w:r>
                    <w:rPr>
                      <w:rFonts w:ascii="Times New Roman" w:cs="Times New Roman"/>
                      <w:b w:val="0"/>
                      <w:bCs/>
                      <w:sz w:val="21"/>
                      <w:szCs w:val="21"/>
                    </w:rPr>
                    <w:t>②NMHC污染物控制设施总去除率≥90%时，等同于满足最高允许排放速率限值要求。</w:t>
                  </w:r>
                </w:p>
              </w:tc>
            </w:tr>
          </w:tbl>
          <w:p>
            <w:pPr>
              <w:pStyle w:val="39"/>
              <w:spacing w:line="240" w:lineRule="auto"/>
            </w:pPr>
            <w:r>
              <w:rPr>
                <w:rFonts w:hAnsi="宋体"/>
                <w:sz w:val="24"/>
              </w:rPr>
              <w:t>表</w:t>
            </w:r>
            <w:r>
              <w:rPr>
                <w:rFonts w:hint="eastAsia"/>
                <w:sz w:val="24"/>
                <w:lang w:val="en-US" w:eastAsia="zh-CN"/>
              </w:rPr>
              <w:t>1.5</w:t>
            </w:r>
            <w:r>
              <w:rPr>
                <w:sz w:val="24"/>
              </w:rPr>
              <w:t xml:space="preserve">   </w:t>
            </w:r>
            <w:r>
              <w:rPr>
                <w:rFonts w:hAnsi="宋体"/>
                <w:sz w:val="24"/>
              </w:rPr>
              <w:t>挥发性有机物无组织排放控制标准</w:t>
            </w:r>
            <w:r>
              <w:rPr>
                <w:sz w:val="24"/>
              </w:rPr>
              <w:t xml:space="preserve"> </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1969"/>
              <w:gridCol w:w="1969"/>
              <w:gridCol w:w="1597"/>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24" w:type="pct"/>
                  <w:shd w:val="clear" w:color="auto" w:fill="auto"/>
                  <w:noWrap w:val="0"/>
                  <w:vAlign w:val="center"/>
                </w:tcPr>
                <w:p>
                  <w:pPr>
                    <w:pStyle w:val="19"/>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污染物项目</w:t>
                  </w:r>
                </w:p>
              </w:tc>
              <w:tc>
                <w:tcPr>
                  <w:tcW w:w="1164" w:type="pct"/>
                  <w:shd w:val="clear" w:color="auto" w:fill="auto"/>
                  <w:noWrap w:val="0"/>
                  <w:vAlign w:val="center"/>
                </w:tcPr>
                <w:p>
                  <w:pPr>
                    <w:pStyle w:val="19"/>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排放限值（mg/m</w:t>
                  </w:r>
                  <w:r>
                    <w:rPr>
                      <w:rFonts w:ascii="Times New Roman" w:hAnsi="Times New Roman"/>
                      <w:bCs/>
                      <w:kern w:val="2"/>
                      <w:sz w:val="21"/>
                      <w:szCs w:val="21"/>
                      <w:vertAlign w:val="superscript"/>
                    </w:rPr>
                    <w:t>3</w:t>
                  </w:r>
                  <w:r>
                    <w:rPr>
                      <w:rFonts w:ascii="Times New Roman" w:hAnsi="Times New Roman"/>
                      <w:bCs/>
                      <w:kern w:val="2"/>
                      <w:sz w:val="21"/>
                      <w:szCs w:val="21"/>
                    </w:rPr>
                    <w:t>）</w:t>
                  </w:r>
                </w:p>
              </w:tc>
              <w:tc>
                <w:tcPr>
                  <w:tcW w:w="1164" w:type="pct"/>
                  <w:shd w:val="clear" w:color="auto" w:fill="D7D7D7"/>
                  <w:noWrap w:val="0"/>
                  <w:vAlign w:val="center"/>
                </w:tcPr>
                <w:p>
                  <w:pPr>
                    <w:pStyle w:val="19"/>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特别排放限值（mg/m</w:t>
                  </w:r>
                  <w:r>
                    <w:rPr>
                      <w:rFonts w:ascii="Times New Roman" w:hAnsi="Times New Roman"/>
                      <w:bCs/>
                      <w:kern w:val="2"/>
                      <w:sz w:val="21"/>
                      <w:szCs w:val="21"/>
                      <w:vertAlign w:val="superscript"/>
                    </w:rPr>
                    <w:t>3</w:t>
                  </w:r>
                  <w:r>
                    <w:rPr>
                      <w:rFonts w:ascii="Times New Roman" w:hAnsi="Times New Roman"/>
                      <w:bCs/>
                      <w:kern w:val="2"/>
                      <w:sz w:val="21"/>
                      <w:szCs w:val="21"/>
                    </w:rPr>
                    <w:t>）</w:t>
                  </w:r>
                </w:p>
              </w:tc>
              <w:tc>
                <w:tcPr>
                  <w:tcW w:w="944" w:type="pct"/>
                  <w:noWrap w:val="0"/>
                  <w:vAlign w:val="center"/>
                </w:tcPr>
                <w:p>
                  <w:pPr>
                    <w:pStyle w:val="19"/>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限值含义</w:t>
                  </w:r>
                </w:p>
              </w:tc>
              <w:tc>
                <w:tcPr>
                  <w:tcW w:w="1101" w:type="pct"/>
                  <w:noWrap w:val="0"/>
                  <w:vAlign w:val="center"/>
                </w:tcPr>
                <w:p>
                  <w:pPr>
                    <w:pStyle w:val="19"/>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624" w:type="pct"/>
                  <w:vMerge w:val="restart"/>
                  <w:shd w:val="clear" w:color="auto" w:fill="auto"/>
                  <w:noWrap w:val="0"/>
                  <w:vAlign w:val="center"/>
                </w:tcPr>
                <w:p>
                  <w:pPr>
                    <w:pStyle w:val="19"/>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NMHC</w:t>
                  </w:r>
                </w:p>
              </w:tc>
              <w:tc>
                <w:tcPr>
                  <w:tcW w:w="1164" w:type="pct"/>
                  <w:shd w:val="clear" w:color="auto" w:fill="auto"/>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10</w:t>
                  </w:r>
                </w:p>
              </w:tc>
              <w:tc>
                <w:tcPr>
                  <w:tcW w:w="1164" w:type="pct"/>
                  <w:shd w:val="clear" w:color="auto" w:fill="D7D7D7"/>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6</w:t>
                  </w:r>
                </w:p>
              </w:tc>
              <w:tc>
                <w:tcPr>
                  <w:tcW w:w="944" w:type="pct"/>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监控点处1h平均浓度值</w:t>
                  </w:r>
                </w:p>
              </w:tc>
              <w:tc>
                <w:tcPr>
                  <w:tcW w:w="1101" w:type="pct"/>
                  <w:vMerge w:val="restart"/>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624" w:type="pct"/>
                  <w:vMerge w:val="continue"/>
                  <w:shd w:val="clear" w:color="auto" w:fill="auto"/>
                  <w:noWrap w:val="0"/>
                  <w:vAlign w:val="center"/>
                </w:tcPr>
                <w:p>
                  <w:pPr>
                    <w:pStyle w:val="19"/>
                    <w:topLinePunct/>
                    <w:spacing w:before="0" w:beforeAutospacing="0" w:after="0" w:afterAutospacing="0"/>
                    <w:jc w:val="center"/>
                    <w:textAlignment w:val="center"/>
                    <w:rPr>
                      <w:rFonts w:ascii="Times New Roman" w:hAnsi="Times New Roman"/>
                      <w:bCs/>
                      <w:kern w:val="2"/>
                      <w:sz w:val="21"/>
                      <w:szCs w:val="21"/>
                    </w:rPr>
                  </w:pPr>
                </w:p>
              </w:tc>
              <w:tc>
                <w:tcPr>
                  <w:tcW w:w="1164" w:type="pct"/>
                  <w:shd w:val="clear" w:color="auto" w:fill="auto"/>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30</w:t>
                  </w:r>
                </w:p>
              </w:tc>
              <w:tc>
                <w:tcPr>
                  <w:tcW w:w="1164" w:type="pct"/>
                  <w:shd w:val="clear" w:color="auto" w:fill="D7D7D7"/>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20</w:t>
                  </w:r>
                </w:p>
              </w:tc>
              <w:tc>
                <w:tcPr>
                  <w:tcW w:w="944" w:type="pct"/>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监控点处任意一次浓度值</w:t>
                  </w:r>
                </w:p>
              </w:tc>
              <w:tc>
                <w:tcPr>
                  <w:tcW w:w="1101" w:type="pct"/>
                  <w:vMerge w:val="continue"/>
                  <w:noWrap w:val="0"/>
                  <w:vAlign w:val="center"/>
                </w:tcPr>
                <w:p>
                  <w:pPr>
                    <w:pStyle w:val="19"/>
                    <w:topLinePunct/>
                    <w:spacing w:before="0" w:beforeAutospacing="0" w:after="0" w:afterAutospacing="0"/>
                    <w:jc w:val="center"/>
                    <w:textAlignment w:val="center"/>
                    <w:rPr>
                      <w:rFonts w:ascii="Times New Roman" w:hAnsi="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5000" w:type="pct"/>
                  <w:gridSpan w:val="5"/>
                  <w:noWrap w:val="0"/>
                  <w:vAlign w:val="center"/>
                </w:tcPr>
                <w:p>
                  <w:pPr>
                    <w:jc w:val="left"/>
                    <w:rPr>
                      <w:rFonts w:hint="eastAsia" w:hAnsi="宋体"/>
                      <w:szCs w:val="21"/>
                    </w:rPr>
                  </w:pPr>
                  <w:r>
                    <w:rPr>
                      <w:rFonts w:hint="eastAsia" w:hAnsi="宋体"/>
                      <w:szCs w:val="21"/>
                    </w:rPr>
                    <w:t>注：（1）根据标准11.1条款，企业边界及周边VOCs监控要求执行GB16297或相关行业排放标准的规定，根据11.2条款，对厂区内VOCs无组织排放状况进行监控执行本表相关限值。</w:t>
                  </w:r>
                </w:p>
                <w:p>
                  <w:pPr>
                    <w:jc w:val="left"/>
                    <w:rPr>
                      <w:rFonts w:hint="eastAsia" w:hAnsi="宋体"/>
                      <w:szCs w:val="21"/>
                    </w:rPr>
                  </w:pPr>
                  <w:r>
                    <w:rPr>
                      <w:rFonts w:hint="eastAsia" w:hAnsi="宋体"/>
                      <w:szCs w:val="21"/>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jc w:val="left"/>
                    <w:rPr>
                      <w:szCs w:val="21"/>
                    </w:rPr>
                  </w:pPr>
                  <w:r>
                    <w:rPr>
                      <w:rFonts w:hint="eastAsia" w:hAnsi="宋体"/>
                      <w:szCs w:val="21"/>
                    </w:rPr>
                    <w:t>（3）根据《重点行业挥发性有机物综合治理方案》（环大气[2019]53号），项目所在区域属重点区域中长三角地区（安徽省），结合标准4.2章节，项目从严执行特别排放限值。</w:t>
                  </w:r>
                </w:p>
              </w:tc>
            </w:tr>
          </w:tbl>
          <w:p>
            <w:pPr>
              <w:spacing w:line="360" w:lineRule="auto"/>
              <w:ind w:firstLine="480" w:firstLineChars="200"/>
              <w:rPr>
                <w:b w:val="0"/>
                <w:bCs w:val="0"/>
                <w:sz w:val="24"/>
                <w:lang w:val="zh-CN"/>
              </w:rPr>
            </w:pPr>
            <w:r>
              <w:rPr>
                <w:rFonts w:hint="eastAsia"/>
                <w:b w:val="0"/>
                <w:bCs w:val="0"/>
                <w:sz w:val="24"/>
                <w:lang w:val="zh-CN" w:eastAsia="zh-CN"/>
              </w:rPr>
              <w:t>（</w:t>
            </w:r>
            <w:r>
              <w:rPr>
                <w:rFonts w:hint="eastAsia"/>
                <w:b w:val="0"/>
                <w:bCs w:val="0"/>
                <w:sz w:val="24"/>
                <w:lang w:val="en-US" w:eastAsia="zh-CN"/>
              </w:rPr>
              <w:t>2）</w:t>
            </w:r>
            <w:r>
              <w:rPr>
                <w:b w:val="0"/>
                <w:bCs w:val="0"/>
                <w:sz w:val="24"/>
                <w:lang w:val="zh-CN"/>
              </w:rPr>
              <w:t>废水排放标准</w:t>
            </w:r>
          </w:p>
          <w:p>
            <w:pPr>
              <w:spacing w:line="360" w:lineRule="auto"/>
              <w:ind w:firstLine="480" w:firstLineChars="200"/>
              <w:rPr>
                <w:sz w:val="24"/>
              </w:rPr>
            </w:pPr>
            <w:r>
              <w:rPr>
                <w:sz w:val="24"/>
              </w:rPr>
              <w:t>项目运营期产生废水为生活污水，项目生活污水</w:t>
            </w:r>
            <w:r>
              <w:rPr>
                <w:rFonts w:hint="eastAsia"/>
                <w:sz w:val="24"/>
              </w:rPr>
              <w:t>近期依托舒城友源电子科技有限公司院内</w:t>
            </w:r>
            <w:r>
              <w:rPr>
                <w:color w:val="000000"/>
                <w:sz w:val="24"/>
              </w:rPr>
              <w:t>化粪池处理后定期清掏，用于项目周边农业施肥，综合利用不外排</w:t>
            </w:r>
            <w:r>
              <w:rPr>
                <w:rFonts w:hint="eastAsia"/>
                <w:color w:val="000000"/>
                <w:sz w:val="24"/>
              </w:rPr>
              <w:t>，远期待棠树乡三拐村污水处理厂建成后，生活污水经隔油池、化粪池处理满足《污水综合排放标准》（GB8978-1996）表4中的三级标准</w:t>
            </w:r>
            <w:r>
              <w:rPr>
                <w:rFonts w:hint="eastAsia"/>
                <w:sz w:val="24"/>
                <w:lang w:eastAsia="zh-CN"/>
              </w:rPr>
              <w:t>和棠树乡三拐村污水处理厂接管要求后</w:t>
            </w:r>
            <w:r>
              <w:rPr>
                <w:rFonts w:hint="eastAsia"/>
                <w:color w:val="000000"/>
                <w:sz w:val="24"/>
              </w:rPr>
              <w:t>接入</w:t>
            </w:r>
            <w:r>
              <w:rPr>
                <w:rFonts w:hint="eastAsia"/>
                <w:sz w:val="24"/>
                <w:lang w:eastAsia="zh-CN"/>
              </w:rPr>
              <w:t>棠树乡三拐村污水处理厂</w:t>
            </w:r>
            <w:r>
              <w:rPr>
                <w:rFonts w:hint="eastAsia"/>
                <w:color w:val="000000"/>
                <w:sz w:val="24"/>
              </w:rPr>
              <w:t>达标排放</w:t>
            </w:r>
            <w:r>
              <w:rPr>
                <w:rFonts w:hint="eastAsia"/>
                <w:sz w:val="24"/>
              </w:rPr>
              <w:t>。</w:t>
            </w:r>
          </w:p>
          <w:p>
            <w:pPr>
              <w:jc w:val="center"/>
              <w:rPr>
                <w:bCs/>
                <w:kern w:val="0"/>
                <w:sz w:val="24"/>
              </w:rPr>
            </w:pPr>
            <w:r>
              <w:rPr>
                <w:b/>
                <w:bCs/>
                <w:kern w:val="0"/>
                <w:sz w:val="24"/>
              </w:rPr>
              <w:t>表</w:t>
            </w:r>
            <w:r>
              <w:rPr>
                <w:rFonts w:hint="eastAsia"/>
                <w:b/>
                <w:bCs/>
                <w:kern w:val="0"/>
                <w:sz w:val="24"/>
                <w:lang w:val="en-US" w:eastAsia="zh-CN"/>
              </w:rPr>
              <w:t>1.6</w:t>
            </w:r>
            <w:r>
              <w:rPr>
                <w:b/>
                <w:bCs/>
                <w:kern w:val="0"/>
                <w:sz w:val="24"/>
              </w:rPr>
              <w:t xml:space="preserve"> </w:t>
            </w:r>
            <w:r>
              <w:rPr>
                <w:rFonts w:hint="eastAsia"/>
                <w:b/>
                <w:bCs/>
                <w:kern w:val="0"/>
                <w:sz w:val="24"/>
              </w:rPr>
              <w:t xml:space="preserve"> 生活污水接管</w:t>
            </w:r>
            <w:r>
              <w:rPr>
                <w:b/>
                <w:bCs/>
                <w:kern w:val="0"/>
                <w:sz w:val="24"/>
              </w:rPr>
              <w:t>标准</w:t>
            </w:r>
            <w:r>
              <w:rPr>
                <w:rFonts w:hint="eastAsia"/>
                <w:b/>
                <w:bCs/>
                <w:kern w:val="0"/>
                <w:sz w:val="24"/>
              </w:rPr>
              <w:t xml:space="preserve"> </w:t>
            </w:r>
            <w:r>
              <w:rPr>
                <w:b/>
                <w:bCs/>
                <w:kern w:val="0"/>
                <w:sz w:val="24"/>
              </w:rPr>
              <w:t xml:space="preserve"> </w:t>
            </w:r>
            <w:r>
              <w:rPr>
                <w:bCs/>
                <w:kern w:val="0"/>
                <w:sz w:val="24"/>
              </w:rPr>
              <w:t>单位：mg/L，pH无量纲</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7"/>
              <w:gridCol w:w="801"/>
              <w:gridCol w:w="754"/>
              <w:gridCol w:w="728"/>
              <w:gridCol w:w="959"/>
              <w:gridCol w:w="697"/>
              <w:gridCol w:w="711"/>
              <w:gridCol w:w="711"/>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exact"/>
                <w:jc w:val="center"/>
              </w:trPr>
              <w:tc>
                <w:tcPr>
                  <w:tcW w:w="1104" w:type="pct"/>
                  <w:noWrap w:val="0"/>
                  <w:vAlign w:val="center"/>
                </w:tcPr>
                <w:p>
                  <w:pPr>
                    <w:jc w:val="center"/>
                    <w:rPr>
                      <w:kern w:val="0"/>
                      <w:szCs w:val="21"/>
                    </w:rPr>
                  </w:pPr>
                  <w:r>
                    <w:rPr>
                      <w:kern w:val="0"/>
                      <w:szCs w:val="21"/>
                    </w:rPr>
                    <w:t>执行标准</w:t>
                  </w:r>
                </w:p>
              </w:tc>
              <w:tc>
                <w:tcPr>
                  <w:tcW w:w="474" w:type="pct"/>
                  <w:noWrap w:val="0"/>
                  <w:vAlign w:val="center"/>
                </w:tcPr>
                <w:p>
                  <w:pPr>
                    <w:jc w:val="center"/>
                    <w:rPr>
                      <w:kern w:val="0"/>
                      <w:szCs w:val="21"/>
                    </w:rPr>
                  </w:pPr>
                  <w:r>
                    <w:rPr>
                      <w:kern w:val="0"/>
                      <w:szCs w:val="21"/>
                    </w:rPr>
                    <w:t>pH</w:t>
                  </w:r>
                </w:p>
              </w:tc>
              <w:tc>
                <w:tcPr>
                  <w:tcW w:w="446" w:type="pct"/>
                  <w:noWrap w:val="0"/>
                  <w:vAlign w:val="center"/>
                </w:tcPr>
                <w:p>
                  <w:pPr>
                    <w:jc w:val="center"/>
                    <w:rPr>
                      <w:kern w:val="0"/>
                      <w:szCs w:val="21"/>
                    </w:rPr>
                  </w:pPr>
                  <w:r>
                    <w:rPr>
                      <w:kern w:val="0"/>
                      <w:szCs w:val="21"/>
                    </w:rPr>
                    <w:t>COD</w:t>
                  </w:r>
                </w:p>
              </w:tc>
              <w:tc>
                <w:tcPr>
                  <w:tcW w:w="429" w:type="pct"/>
                  <w:noWrap w:val="0"/>
                  <w:vAlign w:val="center"/>
                </w:tcPr>
                <w:p>
                  <w:pPr>
                    <w:jc w:val="center"/>
                    <w:rPr>
                      <w:kern w:val="0"/>
                      <w:szCs w:val="21"/>
                    </w:rPr>
                  </w:pPr>
                  <w:r>
                    <w:rPr>
                      <w:kern w:val="0"/>
                      <w:szCs w:val="21"/>
                    </w:rPr>
                    <w:t>BOD</w:t>
                  </w:r>
                  <w:r>
                    <w:rPr>
                      <w:kern w:val="0"/>
                      <w:szCs w:val="21"/>
                      <w:vertAlign w:val="subscript"/>
                    </w:rPr>
                    <w:t>5</w:t>
                  </w:r>
                </w:p>
              </w:tc>
              <w:tc>
                <w:tcPr>
                  <w:tcW w:w="567" w:type="pct"/>
                  <w:noWrap w:val="0"/>
                  <w:vAlign w:val="center"/>
                </w:tcPr>
                <w:p>
                  <w:pPr>
                    <w:jc w:val="center"/>
                    <w:rPr>
                      <w:kern w:val="0"/>
                      <w:szCs w:val="21"/>
                    </w:rPr>
                  </w:pPr>
                  <w:r>
                    <w:rPr>
                      <w:kern w:val="0"/>
                      <w:szCs w:val="21"/>
                    </w:rPr>
                    <w:t>NH</w:t>
                  </w:r>
                  <w:r>
                    <w:rPr>
                      <w:kern w:val="0"/>
                      <w:szCs w:val="21"/>
                      <w:vertAlign w:val="subscript"/>
                    </w:rPr>
                    <w:t>3</w:t>
                  </w:r>
                  <w:r>
                    <w:rPr>
                      <w:kern w:val="0"/>
                      <w:szCs w:val="21"/>
                    </w:rPr>
                    <w:t>-H</w:t>
                  </w:r>
                </w:p>
              </w:tc>
              <w:tc>
                <w:tcPr>
                  <w:tcW w:w="412" w:type="pct"/>
                  <w:noWrap w:val="0"/>
                  <w:vAlign w:val="center"/>
                </w:tcPr>
                <w:p>
                  <w:pPr>
                    <w:jc w:val="center"/>
                    <w:rPr>
                      <w:kern w:val="0"/>
                      <w:szCs w:val="21"/>
                    </w:rPr>
                  </w:pPr>
                  <w:r>
                    <w:rPr>
                      <w:rFonts w:hint="eastAsia"/>
                      <w:kern w:val="0"/>
                      <w:szCs w:val="21"/>
                    </w:rPr>
                    <w:t>TP</w:t>
                  </w:r>
                </w:p>
              </w:tc>
              <w:tc>
                <w:tcPr>
                  <w:tcW w:w="420" w:type="pct"/>
                  <w:noWrap w:val="0"/>
                  <w:vAlign w:val="center"/>
                </w:tcPr>
                <w:p>
                  <w:pPr>
                    <w:jc w:val="center"/>
                    <w:rPr>
                      <w:kern w:val="0"/>
                      <w:szCs w:val="21"/>
                    </w:rPr>
                  </w:pPr>
                  <w:r>
                    <w:rPr>
                      <w:rFonts w:hint="eastAsia"/>
                      <w:kern w:val="0"/>
                      <w:szCs w:val="21"/>
                    </w:rPr>
                    <w:t>TN</w:t>
                  </w:r>
                </w:p>
              </w:tc>
              <w:tc>
                <w:tcPr>
                  <w:tcW w:w="420" w:type="pct"/>
                  <w:noWrap w:val="0"/>
                  <w:vAlign w:val="center"/>
                </w:tcPr>
                <w:p>
                  <w:pPr>
                    <w:jc w:val="center"/>
                    <w:rPr>
                      <w:kern w:val="0"/>
                      <w:szCs w:val="21"/>
                    </w:rPr>
                  </w:pPr>
                  <w:r>
                    <w:rPr>
                      <w:kern w:val="0"/>
                      <w:szCs w:val="21"/>
                    </w:rPr>
                    <w:t>SS</w:t>
                  </w:r>
                </w:p>
              </w:tc>
              <w:tc>
                <w:tcPr>
                  <w:tcW w:w="724" w:type="pct"/>
                  <w:noWrap w:val="0"/>
                  <w:vAlign w:val="center"/>
                </w:tcPr>
                <w:p>
                  <w:pPr>
                    <w:jc w:val="center"/>
                    <w:rPr>
                      <w:kern w:val="0"/>
                      <w:szCs w:val="21"/>
                    </w:rPr>
                  </w:pPr>
                  <w:r>
                    <w:rPr>
                      <w:rFonts w:hint="eastAsia"/>
                      <w:kern w:val="0"/>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exact"/>
                <w:jc w:val="center"/>
              </w:trPr>
              <w:tc>
                <w:tcPr>
                  <w:tcW w:w="1104" w:type="pct"/>
                  <w:noWrap w:val="0"/>
                  <w:vAlign w:val="center"/>
                </w:tcPr>
                <w:p>
                  <w:pPr>
                    <w:jc w:val="center"/>
                    <w:rPr>
                      <w:kern w:val="0"/>
                      <w:szCs w:val="21"/>
                    </w:rPr>
                  </w:pPr>
                  <w:r>
                    <w:rPr>
                      <w:kern w:val="0"/>
                      <w:szCs w:val="21"/>
                    </w:rPr>
                    <w:t>（GB8978-1996）表4中的三级标准</w:t>
                  </w:r>
                </w:p>
              </w:tc>
              <w:tc>
                <w:tcPr>
                  <w:tcW w:w="474" w:type="pct"/>
                  <w:noWrap w:val="0"/>
                  <w:vAlign w:val="center"/>
                </w:tcPr>
                <w:p>
                  <w:pPr>
                    <w:jc w:val="center"/>
                    <w:rPr>
                      <w:kern w:val="0"/>
                      <w:szCs w:val="21"/>
                    </w:rPr>
                  </w:pPr>
                  <w:r>
                    <w:rPr>
                      <w:kern w:val="0"/>
                      <w:szCs w:val="21"/>
                    </w:rPr>
                    <w:t>6~9</w:t>
                  </w:r>
                </w:p>
              </w:tc>
              <w:tc>
                <w:tcPr>
                  <w:tcW w:w="446" w:type="pct"/>
                  <w:noWrap w:val="0"/>
                  <w:vAlign w:val="center"/>
                </w:tcPr>
                <w:p>
                  <w:pPr>
                    <w:jc w:val="center"/>
                    <w:rPr>
                      <w:kern w:val="0"/>
                      <w:szCs w:val="21"/>
                    </w:rPr>
                  </w:pPr>
                  <w:r>
                    <w:rPr>
                      <w:kern w:val="0"/>
                      <w:szCs w:val="21"/>
                    </w:rPr>
                    <w:t>500</w:t>
                  </w:r>
                </w:p>
              </w:tc>
              <w:tc>
                <w:tcPr>
                  <w:tcW w:w="429" w:type="pct"/>
                  <w:noWrap w:val="0"/>
                  <w:vAlign w:val="center"/>
                </w:tcPr>
                <w:p>
                  <w:pPr>
                    <w:jc w:val="center"/>
                    <w:rPr>
                      <w:kern w:val="0"/>
                      <w:szCs w:val="21"/>
                    </w:rPr>
                  </w:pPr>
                  <w:r>
                    <w:rPr>
                      <w:kern w:val="0"/>
                      <w:szCs w:val="21"/>
                    </w:rPr>
                    <w:t>300</w:t>
                  </w:r>
                </w:p>
              </w:tc>
              <w:tc>
                <w:tcPr>
                  <w:tcW w:w="567" w:type="pct"/>
                  <w:noWrap w:val="0"/>
                  <w:vAlign w:val="center"/>
                </w:tcPr>
                <w:p>
                  <w:pPr>
                    <w:jc w:val="center"/>
                    <w:rPr>
                      <w:kern w:val="0"/>
                      <w:szCs w:val="21"/>
                    </w:rPr>
                  </w:pPr>
                  <w:r>
                    <w:rPr>
                      <w:kern w:val="0"/>
                      <w:szCs w:val="21"/>
                    </w:rPr>
                    <w:t>---</w:t>
                  </w:r>
                </w:p>
              </w:tc>
              <w:tc>
                <w:tcPr>
                  <w:tcW w:w="412" w:type="pct"/>
                  <w:noWrap w:val="0"/>
                  <w:vAlign w:val="center"/>
                </w:tcPr>
                <w:p>
                  <w:pPr>
                    <w:jc w:val="center"/>
                    <w:rPr>
                      <w:kern w:val="0"/>
                      <w:szCs w:val="21"/>
                    </w:rPr>
                  </w:pPr>
                  <w:r>
                    <w:rPr>
                      <w:kern w:val="0"/>
                      <w:szCs w:val="21"/>
                    </w:rPr>
                    <w:t>---</w:t>
                  </w:r>
                </w:p>
              </w:tc>
              <w:tc>
                <w:tcPr>
                  <w:tcW w:w="420" w:type="pct"/>
                  <w:noWrap w:val="0"/>
                  <w:vAlign w:val="center"/>
                </w:tcPr>
                <w:p>
                  <w:pPr>
                    <w:jc w:val="center"/>
                    <w:rPr>
                      <w:kern w:val="0"/>
                      <w:szCs w:val="21"/>
                    </w:rPr>
                  </w:pPr>
                  <w:r>
                    <w:rPr>
                      <w:kern w:val="0"/>
                      <w:szCs w:val="21"/>
                    </w:rPr>
                    <w:t>---</w:t>
                  </w:r>
                </w:p>
              </w:tc>
              <w:tc>
                <w:tcPr>
                  <w:tcW w:w="420" w:type="pct"/>
                  <w:noWrap w:val="0"/>
                  <w:vAlign w:val="center"/>
                </w:tcPr>
                <w:p>
                  <w:pPr>
                    <w:jc w:val="center"/>
                    <w:rPr>
                      <w:kern w:val="0"/>
                      <w:szCs w:val="21"/>
                    </w:rPr>
                  </w:pPr>
                  <w:r>
                    <w:rPr>
                      <w:kern w:val="0"/>
                      <w:szCs w:val="21"/>
                    </w:rPr>
                    <w:t>400</w:t>
                  </w:r>
                </w:p>
              </w:tc>
              <w:tc>
                <w:tcPr>
                  <w:tcW w:w="724" w:type="pct"/>
                  <w:noWrap w:val="0"/>
                  <w:vAlign w:val="center"/>
                </w:tcPr>
                <w:p>
                  <w:pPr>
                    <w:jc w:val="center"/>
                    <w:rPr>
                      <w:kern w:val="0"/>
                      <w:szCs w:val="21"/>
                    </w:rPr>
                  </w:pPr>
                  <w:r>
                    <w:rPr>
                      <w:rFonts w:hint="eastAsia"/>
                      <w:kern w:val="0"/>
                      <w:szCs w:val="21"/>
                    </w:rPr>
                    <w:t>2</w:t>
                  </w:r>
                  <w:r>
                    <w:rPr>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exact"/>
                <w:jc w:val="center"/>
              </w:trPr>
              <w:tc>
                <w:tcPr>
                  <w:tcW w:w="1104" w:type="pct"/>
                  <w:noWrap w:val="0"/>
                  <w:vAlign w:val="center"/>
                </w:tcPr>
                <w:p>
                  <w:pPr>
                    <w:jc w:val="center"/>
                    <w:rPr>
                      <w:kern w:val="0"/>
                      <w:szCs w:val="21"/>
                    </w:rPr>
                  </w:pPr>
                  <w:r>
                    <w:rPr>
                      <w:bCs/>
                      <w:color w:val="000000"/>
                      <w:szCs w:val="21"/>
                    </w:rPr>
                    <w:t>GB/T31962-2015中B级标准</w:t>
                  </w:r>
                </w:p>
              </w:tc>
              <w:tc>
                <w:tcPr>
                  <w:tcW w:w="474" w:type="pct"/>
                  <w:noWrap w:val="0"/>
                  <w:vAlign w:val="center"/>
                </w:tcPr>
                <w:p>
                  <w:pPr>
                    <w:jc w:val="center"/>
                    <w:rPr>
                      <w:kern w:val="0"/>
                      <w:szCs w:val="21"/>
                    </w:rPr>
                  </w:pPr>
                  <w:r>
                    <w:rPr>
                      <w:kern w:val="0"/>
                      <w:szCs w:val="21"/>
                    </w:rPr>
                    <w:t>---</w:t>
                  </w:r>
                </w:p>
              </w:tc>
              <w:tc>
                <w:tcPr>
                  <w:tcW w:w="446" w:type="pct"/>
                  <w:noWrap w:val="0"/>
                  <w:vAlign w:val="center"/>
                </w:tcPr>
                <w:p>
                  <w:pPr>
                    <w:jc w:val="center"/>
                    <w:rPr>
                      <w:kern w:val="0"/>
                      <w:szCs w:val="21"/>
                    </w:rPr>
                  </w:pPr>
                  <w:r>
                    <w:rPr>
                      <w:kern w:val="0"/>
                      <w:szCs w:val="21"/>
                    </w:rPr>
                    <w:t>---</w:t>
                  </w:r>
                </w:p>
              </w:tc>
              <w:tc>
                <w:tcPr>
                  <w:tcW w:w="429" w:type="pct"/>
                  <w:noWrap w:val="0"/>
                  <w:vAlign w:val="center"/>
                </w:tcPr>
                <w:p>
                  <w:pPr>
                    <w:jc w:val="center"/>
                    <w:rPr>
                      <w:kern w:val="0"/>
                      <w:szCs w:val="21"/>
                    </w:rPr>
                  </w:pPr>
                  <w:r>
                    <w:rPr>
                      <w:kern w:val="0"/>
                      <w:szCs w:val="21"/>
                    </w:rPr>
                    <w:t>---</w:t>
                  </w:r>
                </w:p>
              </w:tc>
              <w:tc>
                <w:tcPr>
                  <w:tcW w:w="567" w:type="pct"/>
                  <w:noWrap w:val="0"/>
                  <w:vAlign w:val="center"/>
                </w:tcPr>
                <w:p>
                  <w:pPr>
                    <w:jc w:val="center"/>
                    <w:rPr>
                      <w:kern w:val="0"/>
                      <w:szCs w:val="21"/>
                    </w:rPr>
                  </w:pPr>
                  <w:r>
                    <w:rPr>
                      <w:rFonts w:hint="eastAsia"/>
                      <w:kern w:val="0"/>
                      <w:szCs w:val="21"/>
                    </w:rPr>
                    <w:t>45</w:t>
                  </w:r>
                </w:p>
              </w:tc>
              <w:tc>
                <w:tcPr>
                  <w:tcW w:w="412" w:type="pct"/>
                  <w:noWrap w:val="0"/>
                  <w:vAlign w:val="center"/>
                </w:tcPr>
                <w:p>
                  <w:pPr>
                    <w:jc w:val="center"/>
                    <w:rPr>
                      <w:rFonts w:hint="eastAsia"/>
                      <w:kern w:val="0"/>
                      <w:szCs w:val="21"/>
                    </w:rPr>
                  </w:pPr>
                  <w:r>
                    <w:rPr>
                      <w:rFonts w:hint="eastAsia"/>
                      <w:kern w:val="0"/>
                      <w:szCs w:val="21"/>
                    </w:rPr>
                    <w:t>8</w:t>
                  </w:r>
                </w:p>
              </w:tc>
              <w:tc>
                <w:tcPr>
                  <w:tcW w:w="420" w:type="pct"/>
                  <w:noWrap w:val="0"/>
                  <w:vAlign w:val="center"/>
                </w:tcPr>
                <w:p>
                  <w:pPr>
                    <w:jc w:val="center"/>
                    <w:rPr>
                      <w:kern w:val="0"/>
                      <w:szCs w:val="21"/>
                    </w:rPr>
                  </w:pPr>
                  <w:r>
                    <w:rPr>
                      <w:rFonts w:hint="eastAsia"/>
                      <w:kern w:val="0"/>
                      <w:szCs w:val="21"/>
                    </w:rPr>
                    <w:t>70</w:t>
                  </w:r>
                </w:p>
              </w:tc>
              <w:tc>
                <w:tcPr>
                  <w:tcW w:w="420" w:type="pct"/>
                  <w:noWrap w:val="0"/>
                  <w:vAlign w:val="center"/>
                </w:tcPr>
                <w:p>
                  <w:pPr>
                    <w:jc w:val="center"/>
                    <w:rPr>
                      <w:kern w:val="0"/>
                      <w:szCs w:val="21"/>
                    </w:rPr>
                  </w:pPr>
                  <w:r>
                    <w:rPr>
                      <w:kern w:val="0"/>
                      <w:szCs w:val="21"/>
                    </w:rPr>
                    <w:t>---</w:t>
                  </w:r>
                </w:p>
              </w:tc>
              <w:tc>
                <w:tcPr>
                  <w:tcW w:w="724" w:type="pct"/>
                  <w:noWrap w:val="0"/>
                  <w:vAlign w:val="center"/>
                </w:tcPr>
                <w:p>
                  <w:pPr>
                    <w:jc w:val="center"/>
                    <w:rPr>
                      <w:kern w:val="0"/>
                      <w:szCs w:val="21"/>
                    </w:rPr>
                  </w:pPr>
                  <w:r>
                    <w:rPr>
                      <w:kern w:val="0"/>
                      <w:szCs w:val="21"/>
                    </w:rPr>
                    <w:t>---</w:t>
                  </w:r>
                </w:p>
              </w:tc>
            </w:tr>
          </w:tbl>
          <w:p>
            <w:pPr>
              <w:wordWrap w:val="0"/>
              <w:spacing w:line="480" w:lineRule="exact"/>
              <w:jc w:val="right"/>
              <w:rPr>
                <w:b/>
                <w:color w:val="000000"/>
                <w:kern w:val="0"/>
                <w:sz w:val="24"/>
              </w:rPr>
            </w:pPr>
            <w:r>
              <w:rPr>
                <w:b/>
                <w:color w:val="000000"/>
                <w:kern w:val="0"/>
                <w:sz w:val="24"/>
              </w:rPr>
              <w:t>表</w:t>
            </w:r>
            <w:r>
              <w:rPr>
                <w:rFonts w:hint="eastAsia"/>
                <w:b/>
                <w:color w:val="000000"/>
                <w:kern w:val="0"/>
                <w:sz w:val="24"/>
                <w:lang w:val="en-US" w:eastAsia="zh-CN"/>
              </w:rPr>
              <w:t>1.7</w:t>
            </w:r>
            <w:r>
              <w:rPr>
                <w:rFonts w:hint="eastAsia"/>
                <w:b/>
                <w:color w:val="000000"/>
                <w:kern w:val="0"/>
                <w:sz w:val="24"/>
              </w:rPr>
              <w:t xml:space="preserve">  棠树乡三拐村污水处理厂尾</w:t>
            </w:r>
            <w:r>
              <w:rPr>
                <w:b/>
                <w:color w:val="000000"/>
                <w:kern w:val="0"/>
                <w:sz w:val="24"/>
              </w:rPr>
              <w:t xml:space="preserve">水排放标准  </w:t>
            </w:r>
            <w:r>
              <w:rPr>
                <w:color w:val="000000"/>
                <w:kern w:val="0"/>
                <w:sz w:val="24"/>
              </w:rPr>
              <w:t>单位mg/L（pH除外）</w:t>
            </w:r>
          </w:p>
          <w:tbl>
            <w:tblPr>
              <w:tblStyle w:val="2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736"/>
              <w:gridCol w:w="705"/>
              <w:gridCol w:w="720"/>
              <w:gridCol w:w="780"/>
              <w:gridCol w:w="580"/>
              <w:gridCol w:w="980"/>
              <w:gridCol w:w="870"/>
              <w:gridCol w:w="6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2736" w:type="dxa"/>
                  <w:noWrap w:val="0"/>
                  <w:vAlign w:val="center"/>
                </w:tcPr>
                <w:p>
                  <w:pPr>
                    <w:wordWrap w:val="0"/>
                    <w:topLinePunct/>
                    <w:contextualSpacing/>
                    <w:jc w:val="center"/>
                    <w:textAlignment w:val="center"/>
                    <w:rPr>
                      <w:szCs w:val="21"/>
                    </w:rPr>
                  </w:pPr>
                  <w:r>
                    <w:rPr>
                      <w:szCs w:val="21"/>
                    </w:rPr>
                    <w:t>执行标准</w:t>
                  </w:r>
                </w:p>
              </w:tc>
              <w:tc>
                <w:tcPr>
                  <w:tcW w:w="705" w:type="dxa"/>
                  <w:noWrap w:val="0"/>
                  <w:vAlign w:val="center"/>
                </w:tcPr>
                <w:p>
                  <w:pPr>
                    <w:wordWrap w:val="0"/>
                    <w:topLinePunct/>
                    <w:contextualSpacing/>
                    <w:jc w:val="center"/>
                    <w:textAlignment w:val="center"/>
                    <w:rPr>
                      <w:szCs w:val="21"/>
                    </w:rPr>
                  </w:pPr>
                  <w:r>
                    <w:rPr>
                      <w:szCs w:val="21"/>
                    </w:rPr>
                    <w:t>pH</w:t>
                  </w:r>
                </w:p>
              </w:tc>
              <w:tc>
                <w:tcPr>
                  <w:tcW w:w="720" w:type="dxa"/>
                  <w:noWrap w:val="0"/>
                  <w:vAlign w:val="center"/>
                </w:tcPr>
                <w:p>
                  <w:pPr>
                    <w:wordWrap w:val="0"/>
                    <w:topLinePunct/>
                    <w:contextualSpacing/>
                    <w:jc w:val="center"/>
                    <w:textAlignment w:val="center"/>
                    <w:rPr>
                      <w:szCs w:val="21"/>
                    </w:rPr>
                  </w:pPr>
                  <w:r>
                    <w:rPr>
                      <w:szCs w:val="21"/>
                    </w:rPr>
                    <w:t>COD</w:t>
                  </w:r>
                </w:p>
              </w:tc>
              <w:tc>
                <w:tcPr>
                  <w:tcW w:w="780" w:type="dxa"/>
                  <w:noWrap w:val="0"/>
                  <w:vAlign w:val="center"/>
                </w:tcPr>
                <w:p>
                  <w:pPr>
                    <w:wordWrap w:val="0"/>
                    <w:topLinePunct/>
                    <w:contextualSpacing/>
                    <w:jc w:val="center"/>
                    <w:textAlignment w:val="center"/>
                    <w:rPr>
                      <w:szCs w:val="21"/>
                    </w:rPr>
                  </w:pPr>
                  <w:r>
                    <w:rPr>
                      <w:szCs w:val="21"/>
                    </w:rPr>
                    <w:t>BOD</w:t>
                  </w:r>
                  <w:r>
                    <w:rPr>
                      <w:szCs w:val="21"/>
                      <w:vertAlign w:val="subscript"/>
                    </w:rPr>
                    <w:t>5</w:t>
                  </w:r>
                </w:p>
              </w:tc>
              <w:tc>
                <w:tcPr>
                  <w:tcW w:w="580" w:type="dxa"/>
                  <w:noWrap w:val="0"/>
                  <w:vAlign w:val="center"/>
                </w:tcPr>
                <w:p>
                  <w:pPr>
                    <w:wordWrap w:val="0"/>
                    <w:topLinePunct/>
                    <w:contextualSpacing/>
                    <w:jc w:val="center"/>
                    <w:textAlignment w:val="center"/>
                    <w:rPr>
                      <w:szCs w:val="21"/>
                    </w:rPr>
                  </w:pPr>
                  <w:r>
                    <w:rPr>
                      <w:szCs w:val="21"/>
                    </w:rPr>
                    <w:t>SS</w:t>
                  </w:r>
                </w:p>
              </w:tc>
              <w:tc>
                <w:tcPr>
                  <w:tcW w:w="980" w:type="dxa"/>
                  <w:noWrap w:val="0"/>
                  <w:vAlign w:val="center"/>
                </w:tcPr>
                <w:p>
                  <w:pPr>
                    <w:wordWrap w:val="0"/>
                    <w:topLinePunct/>
                    <w:contextualSpacing/>
                    <w:jc w:val="center"/>
                    <w:textAlignment w:val="center"/>
                    <w:rPr>
                      <w:szCs w:val="21"/>
                    </w:rPr>
                  </w:pPr>
                  <w:r>
                    <w:rPr>
                      <w:szCs w:val="21"/>
                    </w:rPr>
                    <w:t>NH</w:t>
                  </w:r>
                  <w:r>
                    <w:rPr>
                      <w:szCs w:val="21"/>
                      <w:vertAlign w:val="subscript"/>
                    </w:rPr>
                    <w:t>3</w:t>
                  </w:r>
                  <w:r>
                    <w:rPr>
                      <w:szCs w:val="21"/>
                    </w:rPr>
                    <w:t>-N</w:t>
                  </w:r>
                </w:p>
              </w:tc>
              <w:tc>
                <w:tcPr>
                  <w:tcW w:w="870" w:type="dxa"/>
                  <w:noWrap w:val="0"/>
                  <w:vAlign w:val="center"/>
                </w:tcPr>
                <w:p>
                  <w:pPr>
                    <w:wordWrap w:val="0"/>
                    <w:topLinePunct/>
                    <w:contextualSpacing/>
                    <w:jc w:val="center"/>
                    <w:textAlignment w:val="center"/>
                    <w:rPr>
                      <w:szCs w:val="21"/>
                    </w:rPr>
                  </w:pPr>
                  <w:r>
                    <w:rPr>
                      <w:szCs w:val="21"/>
                    </w:rPr>
                    <w:t>总氮</w:t>
                  </w:r>
                </w:p>
              </w:tc>
              <w:tc>
                <w:tcPr>
                  <w:tcW w:w="632" w:type="dxa"/>
                  <w:noWrap w:val="0"/>
                  <w:vAlign w:val="center"/>
                </w:tcPr>
                <w:p>
                  <w:pPr>
                    <w:wordWrap w:val="0"/>
                    <w:topLinePunct/>
                    <w:contextualSpacing/>
                    <w:jc w:val="center"/>
                    <w:textAlignment w:val="center"/>
                    <w:rPr>
                      <w:szCs w:val="21"/>
                    </w:rPr>
                  </w:pPr>
                  <w:r>
                    <w:rPr>
                      <w:szCs w:val="21"/>
                    </w:rPr>
                    <w:t>总磷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2736" w:type="dxa"/>
                  <w:noWrap w:val="0"/>
                  <w:vAlign w:val="center"/>
                </w:tcPr>
                <w:p>
                  <w:pPr>
                    <w:wordWrap w:val="0"/>
                    <w:topLinePunct/>
                    <w:contextualSpacing/>
                    <w:jc w:val="center"/>
                    <w:textAlignment w:val="center"/>
                    <w:rPr>
                      <w:szCs w:val="21"/>
                    </w:rPr>
                  </w:pPr>
                  <w:r>
                    <w:rPr>
                      <w:szCs w:val="21"/>
                    </w:rPr>
                    <w:t>《巢湖流域城镇污水处理厂和工业行业主要水污染物排放限值》</w:t>
                  </w:r>
                </w:p>
                <w:p>
                  <w:pPr>
                    <w:wordWrap w:val="0"/>
                    <w:topLinePunct/>
                    <w:contextualSpacing/>
                    <w:jc w:val="center"/>
                    <w:textAlignment w:val="center"/>
                    <w:rPr>
                      <w:szCs w:val="21"/>
                    </w:rPr>
                  </w:pPr>
                  <w:r>
                    <w:rPr>
                      <w:szCs w:val="21"/>
                    </w:rPr>
                    <w:t>（DB34/2710-2016）排污限值</w:t>
                  </w:r>
                </w:p>
              </w:tc>
              <w:tc>
                <w:tcPr>
                  <w:tcW w:w="705" w:type="dxa"/>
                  <w:noWrap w:val="0"/>
                  <w:vAlign w:val="center"/>
                </w:tcPr>
                <w:p>
                  <w:pPr>
                    <w:wordWrap w:val="0"/>
                    <w:topLinePunct/>
                    <w:contextualSpacing/>
                    <w:jc w:val="center"/>
                    <w:textAlignment w:val="center"/>
                    <w:rPr>
                      <w:szCs w:val="21"/>
                    </w:rPr>
                  </w:pPr>
                  <w:r>
                    <w:rPr>
                      <w:szCs w:val="21"/>
                    </w:rPr>
                    <w:t>6~9</w:t>
                  </w:r>
                </w:p>
              </w:tc>
              <w:tc>
                <w:tcPr>
                  <w:tcW w:w="720" w:type="dxa"/>
                  <w:noWrap w:val="0"/>
                  <w:vAlign w:val="center"/>
                </w:tcPr>
                <w:p>
                  <w:pPr>
                    <w:wordWrap w:val="0"/>
                    <w:topLinePunct/>
                    <w:contextualSpacing/>
                    <w:jc w:val="center"/>
                    <w:textAlignment w:val="center"/>
                    <w:rPr>
                      <w:szCs w:val="21"/>
                    </w:rPr>
                  </w:pPr>
                  <w:r>
                    <w:rPr>
                      <w:szCs w:val="21"/>
                    </w:rPr>
                    <w:t>40</w:t>
                  </w:r>
                </w:p>
              </w:tc>
              <w:tc>
                <w:tcPr>
                  <w:tcW w:w="780" w:type="dxa"/>
                  <w:noWrap w:val="0"/>
                  <w:vAlign w:val="center"/>
                </w:tcPr>
                <w:p>
                  <w:pPr>
                    <w:wordWrap w:val="0"/>
                    <w:topLinePunct/>
                    <w:contextualSpacing/>
                    <w:jc w:val="center"/>
                    <w:textAlignment w:val="center"/>
                    <w:rPr>
                      <w:szCs w:val="21"/>
                    </w:rPr>
                  </w:pPr>
                  <w:r>
                    <w:rPr>
                      <w:szCs w:val="21"/>
                    </w:rPr>
                    <w:t>/</w:t>
                  </w:r>
                </w:p>
              </w:tc>
              <w:tc>
                <w:tcPr>
                  <w:tcW w:w="580" w:type="dxa"/>
                  <w:noWrap w:val="0"/>
                  <w:vAlign w:val="center"/>
                </w:tcPr>
                <w:p>
                  <w:pPr>
                    <w:wordWrap w:val="0"/>
                    <w:topLinePunct/>
                    <w:contextualSpacing/>
                    <w:jc w:val="center"/>
                    <w:textAlignment w:val="center"/>
                    <w:rPr>
                      <w:szCs w:val="21"/>
                    </w:rPr>
                  </w:pPr>
                  <w:r>
                    <w:rPr>
                      <w:szCs w:val="21"/>
                    </w:rPr>
                    <w:t>/</w:t>
                  </w:r>
                </w:p>
              </w:tc>
              <w:tc>
                <w:tcPr>
                  <w:tcW w:w="980" w:type="dxa"/>
                  <w:noWrap w:val="0"/>
                  <w:vAlign w:val="center"/>
                </w:tcPr>
                <w:p>
                  <w:pPr>
                    <w:wordWrap w:val="0"/>
                    <w:topLinePunct/>
                    <w:contextualSpacing/>
                    <w:jc w:val="center"/>
                    <w:textAlignment w:val="center"/>
                    <w:rPr>
                      <w:szCs w:val="21"/>
                    </w:rPr>
                  </w:pPr>
                  <w:r>
                    <w:rPr>
                      <w:szCs w:val="21"/>
                    </w:rPr>
                    <w:t>2.0（3.0）</w:t>
                  </w:r>
                </w:p>
              </w:tc>
              <w:tc>
                <w:tcPr>
                  <w:tcW w:w="870" w:type="dxa"/>
                  <w:noWrap w:val="0"/>
                  <w:vAlign w:val="center"/>
                </w:tcPr>
                <w:p>
                  <w:pPr>
                    <w:wordWrap w:val="0"/>
                    <w:topLinePunct/>
                    <w:contextualSpacing/>
                    <w:jc w:val="center"/>
                    <w:textAlignment w:val="center"/>
                    <w:rPr>
                      <w:szCs w:val="21"/>
                    </w:rPr>
                  </w:pPr>
                  <w:r>
                    <w:rPr>
                      <w:szCs w:val="21"/>
                    </w:rPr>
                    <w:t>10（12）</w:t>
                  </w:r>
                </w:p>
              </w:tc>
              <w:tc>
                <w:tcPr>
                  <w:tcW w:w="632" w:type="dxa"/>
                  <w:noWrap w:val="0"/>
                  <w:vAlign w:val="center"/>
                </w:tcPr>
                <w:p>
                  <w:pPr>
                    <w:wordWrap w:val="0"/>
                    <w:topLinePunct/>
                    <w:contextualSpacing/>
                    <w:jc w:val="center"/>
                    <w:textAlignment w:val="center"/>
                    <w:rPr>
                      <w:szCs w:val="21"/>
                    </w:rPr>
                  </w:pPr>
                  <w:r>
                    <w:rPr>
                      <w:szCs w:val="21"/>
                    </w:rPr>
                    <w:t>0.3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2736" w:type="dxa"/>
                  <w:noWrap w:val="0"/>
                  <w:vAlign w:val="center"/>
                </w:tcPr>
                <w:p>
                  <w:pPr>
                    <w:wordWrap w:val="0"/>
                    <w:topLinePunct/>
                    <w:contextualSpacing/>
                    <w:jc w:val="center"/>
                    <w:textAlignment w:val="center"/>
                    <w:rPr>
                      <w:szCs w:val="21"/>
                    </w:rPr>
                  </w:pPr>
                  <w:r>
                    <w:rPr>
                      <w:szCs w:val="21"/>
                    </w:rPr>
                    <w:t>《城镇污水处理厂污染物排放标准》（GB18918-2002）</w:t>
                  </w:r>
                </w:p>
                <w:p>
                  <w:pPr>
                    <w:wordWrap w:val="0"/>
                    <w:topLinePunct/>
                    <w:contextualSpacing/>
                    <w:jc w:val="center"/>
                    <w:textAlignment w:val="center"/>
                    <w:rPr>
                      <w:szCs w:val="21"/>
                    </w:rPr>
                  </w:pPr>
                  <w:r>
                    <w:rPr>
                      <w:szCs w:val="21"/>
                    </w:rPr>
                    <w:t>一级A标准</w:t>
                  </w:r>
                </w:p>
              </w:tc>
              <w:tc>
                <w:tcPr>
                  <w:tcW w:w="705" w:type="dxa"/>
                  <w:noWrap w:val="0"/>
                  <w:vAlign w:val="center"/>
                </w:tcPr>
                <w:p>
                  <w:pPr>
                    <w:wordWrap w:val="0"/>
                    <w:topLinePunct/>
                    <w:contextualSpacing/>
                    <w:jc w:val="center"/>
                    <w:textAlignment w:val="center"/>
                    <w:rPr>
                      <w:szCs w:val="21"/>
                    </w:rPr>
                  </w:pPr>
                  <w:r>
                    <w:rPr>
                      <w:rFonts w:hint="eastAsia"/>
                      <w:szCs w:val="21"/>
                    </w:rPr>
                    <w:t>/</w:t>
                  </w:r>
                </w:p>
              </w:tc>
              <w:tc>
                <w:tcPr>
                  <w:tcW w:w="720" w:type="dxa"/>
                  <w:noWrap w:val="0"/>
                  <w:vAlign w:val="center"/>
                </w:tcPr>
                <w:p>
                  <w:pPr>
                    <w:wordWrap w:val="0"/>
                    <w:topLinePunct/>
                    <w:contextualSpacing/>
                    <w:jc w:val="center"/>
                    <w:textAlignment w:val="center"/>
                    <w:rPr>
                      <w:rFonts w:hint="eastAsia"/>
                      <w:szCs w:val="21"/>
                    </w:rPr>
                  </w:pPr>
                  <w:r>
                    <w:rPr>
                      <w:rFonts w:hint="eastAsia"/>
                      <w:szCs w:val="21"/>
                    </w:rPr>
                    <w:t>/</w:t>
                  </w:r>
                </w:p>
              </w:tc>
              <w:tc>
                <w:tcPr>
                  <w:tcW w:w="780" w:type="dxa"/>
                  <w:noWrap w:val="0"/>
                  <w:vAlign w:val="center"/>
                </w:tcPr>
                <w:p>
                  <w:pPr>
                    <w:wordWrap w:val="0"/>
                    <w:topLinePunct/>
                    <w:contextualSpacing/>
                    <w:jc w:val="center"/>
                    <w:textAlignment w:val="center"/>
                    <w:rPr>
                      <w:szCs w:val="21"/>
                    </w:rPr>
                  </w:pPr>
                  <w:r>
                    <w:rPr>
                      <w:szCs w:val="21"/>
                    </w:rPr>
                    <w:t>10</w:t>
                  </w:r>
                </w:p>
              </w:tc>
              <w:tc>
                <w:tcPr>
                  <w:tcW w:w="580" w:type="dxa"/>
                  <w:noWrap w:val="0"/>
                  <w:vAlign w:val="center"/>
                </w:tcPr>
                <w:p>
                  <w:pPr>
                    <w:wordWrap w:val="0"/>
                    <w:topLinePunct/>
                    <w:contextualSpacing/>
                    <w:jc w:val="center"/>
                    <w:textAlignment w:val="center"/>
                    <w:rPr>
                      <w:szCs w:val="21"/>
                    </w:rPr>
                  </w:pPr>
                  <w:r>
                    <w:rPr>
                      <w:szCs w:val="21"/>
                    </w:rPr>
                    <w:t>10</w:t>
                  </w:r>
                </w:p>
              </w:tc>
              <w:tc>
                <w:tcPr>
                  <w:tcW w:w="980" w:type="dxa"/>
                  <w:noWrap w:val="0"/>
                  <w:vAlign w:val="center"/>
                </w:tcPr>
                <w:p>
                  <w:pPr>
                    <w:wordWrap w:val="0"/>
                    <w:topLinePunct/>
                    <w:contextualSpacing/>
                    <w:jc w:val="center"/>
                    <w:textAlignment w:val="center"/>
                    <w:rPr>
                      <w:rFonts w:hint="eastAsia"/>
                      <w:szCs w:val="21"/>
                    </w:rPr>
                  </w:pPr>
                  <w:r>
                    <w:rPr>
                      <w:rFonts w:hint="eastAsia"/>
                      <w:szCs w:val="21"/>
                    </w:rPr>
                    <w:t>/</w:t>
                  </w:r>
                </w:p>
              </w:tc>
              <w:tc>
                <w:tcPr>
                  <w:tcW w:w="870" w:type="dxa"/>
                  <w:noWrap w:val="0"/>
                  <w:vAlign w:val="center"/>
                </w:tcPr>
                <w:p>
                  <w:pPr>
                    <w:wordWrap w:val="0"/>
                    <w:topLinePunct/>
                    <w:contextualSpacing/>
                    <w:jc w:val="center"/>
                    <w:textAlignment w:val="center"/>
                    <w:rPr>
                      <w:rFonts w:hint="eastAsia"/>
                      <w:szCs w:val="21"/>
                    </w:rPr>
                  </w:pPr>
                  <w:r>
                    <w:rPr>
                      <w:rFonts w:hint="eastAsia"/>
                      <w:szCs w:val="21"/>
                    </w:rPr>
                    <w:t>/</w:t>
                  </w:r>
                </w:p>
              </w:tc>
              <w:tc>
                <w:tcPr>
                  <w:tcW w:w="632" w:type="dxa"/>
                  <w:noWrap w:val="0"/>
                  <w:vAlign w:val="center"/>
                </w:tcPr>
                <w:p>
                  <w:pPr>
                    <w:wordWrap w:val="0"/>
                    <w:topLinePunct/>
                    <w:contextualSpacing/>
                    <w:jc w:val="center"/>
                    <w:textAlignment w:val="center"/>
                    <w:rPr>
                      <w:rFonts w:hint="eastAsia"/>
                      <w:szCs w:val="21"/>
                    </w:rPr>
                  </w:pPr>
                  <w:r>
                    <w:rPr>
                      <w:rFonts w:hint="eastAsia"/>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8003" w:type="dxa"/>
                  <w:gridSpan w:val="8"/>
                  <w:noWrap w:val="0"/>
                  <w:vAlign w:val="center"/>
                </w:tcPr>
                <w:p>
                  <w:pPr>
                    <w:wordWrap w:val="0"/>
                    <w:topLinePunct/>
                    <w:contextualSpacing/>
                    <w:jc w:val="center"/>
                    <w:textAlignment w:val="center"/>
                    <w:rPr>
                      <w:szCs w:val="21"/>
                    </w:rPr>
                  </w:pPr>
                  <w:r>
                    <w:rPr>
                      <w:szCs w:val="21"/>
                    </w:rPr>
                    <w:t>注：</w:t>
                  </w:r>
                  <w:r>
                    <w:t>括号外数值为水温＞12℃时的控制指标，括号内数值为水温≤12℃时的控制指标</w:t>
                  </w:r>
                </w:p>
              </w:tc>
            </w:tr>
          </w:tbl>
          <w:p>
            <w:pPr>
              <w:spacing w:line="360" w:lineRule="auto"/>
              <w:ind w:firstLine="480" w:firstLineChars="200"/>
              <w:rPr>
                <w:b/>
                <w:bCs/>
                <w:sz w:val="24"/>
              </w:rPr>
            </w:pPr>
            <w:r>
              <w:rPr>
                <w:rFonts w:hint="eastAsia"/>
                <w:b w:val="0"/>
                <w:bCs w:val="0"/>
                <w:sz w:val="24"/>
                <w:lang w:eastAsia="zh-CN"/>
              </w:rPr>
              <w:t>（</w:t>
            </w:r>
            <w:r>
              <w:rPr>
                <w:rFonts w:hint="eastAsia"/>
                <w:b w:val="0"/>
                <w:bCs w:val="0"/>
                <w:sz w:val="24"/>
                <w:lang w:val="en-US" w:eastAsia="zh-CN"/>
              </w:rPr>
              <w:t>3）</w:t>
            </w:r>
            <w:r>
              <w:rPr>
                <w:b w:val="0"/>
                <w:bCs w:val="0"/>
                <w:sz w:val="24"/>
                <w:lang w:val="zh-CN"/>
              </w:rPr>
              <w:t>噪声排放标准</w:t>
            </w:r>
          </w:p>
          <w:p>
            <w:pPr>
              <w:spacing w:line="360" w:lineRule="auto"/>
              <w:ind w:firstLine="480" w:firstLineChars="200"/>
              <w:rPr>
                <w:sz w:val="24"/>
              </w:rPr>
            </w:pPr>
            <w:r>
              <w:rPr>
                <w:rFonts w:hint="eastAsia"/>
                <w:sz w:val="24"/>
              </w:rPr>
              <w:t>项目</w:t>
            </w:r>
            <w:r>
              <w:rPr>
                <w:color w:val="000000"/>
                <w:sz w:val="24"/>
              </w:rPr>
              <w:t>营运期噪声</w:t>
            </w:r>
            <w:r>
              <w:rPr>
                <w:rFonts w:hint="eastAsia"/>
                <w:color w:val="000000"/>
                <w:sz w:val="24"/>
              </w:rPr>
              <w:t>排放</w:t>
            </w:r>
            <w:r>
              <w:rPr>
                <w:color w:val="000000"/>
                <w:sz w:val="24"/>
              </w:rPr>
              <w:t>执行《工业企业厂界环境噪声排放标准》（GB12348-2008）中3类</w:t>
            </w:r>
            <w:r>
              <w:rPr>
                <w:rFonts w:hint="eastAsia"/>
                <w:color w:val="000000"/>
                <w:sz w:val="24"/>
              </w:rPr>
              <w:t>区</w:t>
            </w:r>
            <w:r>
              <w:rPr>
                <w:color w:val="000000"/>
                <w:sz w:val="24"/>
              </w:rPr>
              <w:t>标准</w:t>
            </w:r>
            <w:r>
              <w:rPr>
                <w:sz w:val="24"/>
              </w:rPr>
              <w:t>其标准限值见</w:t>
            </w:r>
            <w:r>
              <w:rPr>
                <w:rFonts w:hint="eastAsia"/>
                <w:sz w:val="24"/>
              </w:rPr>
              <w:t>下表</w:t>
            </w:r>
            <w:r>
              <w:rPr>
                <w:sz w:val="24"/>
              </w:rPr>
              <w:t>。</w:t>
            </w:r>
          </w:p>
          <w:p>
            <w:pPr>
              <w:jc w:val="center"/>
              <w:rPr>
                <w:b/>
                <w:sz w:val="24"/>
              </w:rPr>
            </w:pPr>
            <w:r>
              <w:rPr>
                <w:b/>
                <w:sz w:val="24"/>
              </w:rPr>
              <w:t>表</w:t>
            </w:r>
            <w:r>
              <w:rPr>
                <w:rFonts w:hint="eastAsia"/>
                <w:b/>
                <w:sz w:val="24"/>
                <w:lang w:val="en-US" w:eastAsia="zh-CN"/>
              </w:rPr>
              <w:t xml:space="preserve">1.8 </w:t>
            </w:r>
            <w:r>
              <w:rPr>
                <w:b/>
                <w:sz w:val="24"/>
              </w:rPr>
              <w:t>工业企业厂界环境噪声</w:t>
            </w:r>
            <w:r>
              <w:rPr>
                <w:rFonts w:hint="eastAsia"/>
                <w:b/>
                <w:sz w:val="24"/>
              </w:rPr>
              <w:t>排放</w:t>
            </w:r>
            <w:r>
              <w:rPr>
                <w:b/>
                <w:sz w:val="24"/>
              </w:rPr>
              <w:t xml:space="preserve">标准   </w:t>
            </w:r>
            <w:r>
              <w:rPr>
                <w:bCs/>
                <w:sz w:val="24"/>
              </w:rPr>
              <w:t>单位：dB（A）</w:t>
            </w:r>
          </w:p>
          <w:tbl>
            <w:tblPr>
              <w:tblStyle w:val="21"/>
              <w:tblW w:w="7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37"/>
              <w:gridCol w:w="1828"/>
              <w:gridCol w:w="2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3537" w:type="dxa"/>
                  <w:noWrap w:val="0"/>
                  <w:vAlign w:val="center"/>
                </w:tcPr>
                <w:p>
                  <w:pPr>
                    <w:jc w:val="center"/>
                    <w:rPr>
                      <w:b/>
                      <w:bCs/>
                      <w:szCs w:val="21"/>
                    </w:rPr>
                  </w:pPr>
                  <w:r>
                    <w:rPr>
                      <w:b/>
                      <w:bCs/>
                      <w:szCs w:val="21"/>
                    </w:rPr>
                    <w:t>标准</w:t>
                  </w:r>
                </w:p>
              </w:tc>
              <w:tc>
                <w:tcPr>
                  <w:tcW w:w="1828" w:type="dxa"/>
                  <w:noWrap w:val="0"/>
                  <w:vAlign w:val="center"/>
                </w:tcPr>
                <w:p>
                  <w:pPr>
                    <w:jc w:val="center"/>
                    <w:rPr>
                      <w:b/>
                      <w:bCs/>
                      <w:szCs w:val="21"/>
                    </w:rPr>
                  </w:pPr>
                  <w:r>
                    <w:rPr>
                      <w:b/>
                      <w:bCs/>
                      <w:szCs w:val="21"/>
                    </w:rPr>
                    <w:t>昼间</w:t>
                  </w:r>
                </w:p>
              </w:tc>
              <w:tc>
                <w:tcPr>
                  <w:tcW w:w="2509" w:type="dxa"/>
                  <w:noWrap w:val="0"/>
                  <w:vAlign w:val="center"/>
                </w:tcPr>
                <w:p>
                  <w:pPr>
                    <w:jc w:val="center"/>
                    <w:rPr>
                      <w:b/>
                      <w:bCs/>
                      <w:szCs w:val="21"/>
                    </w:rPr>
                  </w:pPr>
                  <w:r>
                    <w:rPr>
                      <w:b/>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3537" w:type="dxa"/>
                  <w:noWrap w:val="0"/>
                  <w:vAlign w:val="center"/>
                </w:tcPr>
                <w:p>
                  <w:pPr>
                    <w:jc w:val="center"/>
                    <w:rPr>
                      <w:szCs w:val="21"/>
                    </w:rPr>
                  </w:pPr>
                  <w:r>
                    <w:rPr>
                      <w:rFonts w:hint="eastAsia"/>
                      <w:szCs w:val="21"/>
                    </w:rPr>
                    <w:t>（</w:t>
                  </w:r>
                  <w:r>
                    <w:rPr>
                      <w:szCs w:val="21"/>
                    </w:rPr>
                    <w:t>GB12348-2008</w:t>
                  </w:r>
                  <w:r>
                    <w:rPr>
                      <w:rFonts w:hint="eastAsia"/>
                      <w:szCs w:val="21"/>
                    </w:rPr>
                    <w:t>）</w:t>
                  </w:r>
                  <w:r>
                    <w:rPr>
                      <w:szCs w:val="21"/>
                    </w:rPr>
                    <w:t>中3类区标准</w:t>
                  </w:r>
                </w:p>
              </w:tc>
              <w:tc>
                <w:tcPr>
                  <w:tcW w:w="1828" w:type="dxa"/>
                  <w:noWrap w:val="0"/>
                  <w:vAlign w:val="center"/>
                </w:tcPr>
                <w:p>
                  <w:pPr>
                    <w:jc w:val="center"/>
                    <w:rPr>
                      <w:szCs w:val="21"/>
                    </w:rPr>
                  </w:pPr>
                  <w:r>
                    <w:rPr>
                      <w:szCs w:val="21"/>
                    </w:rPr>
                    <w:t>65</w:t>
                  </w:r>
                </w:p>
              </w:tc>
              <w:tc>
                <w:tcPr>
                  <w:tcW w:w="2509" w:type="dxa"/>
                  <w:noWrap w:val="0"/>
                  <w:vAlign w:val="center"/>
                </w:tcPr>
                <w:p>
                  <w:pPr>
                    <w:jc w:val="center"/>
                    <w:rPr>
                      <w:szCs w:val="21"/>
                    </w:rPr>
                  </w:pPr>
                  <w:r>
                    <w:rPr>
                      <w:szCs w:val="21"/>
                    </w:rPr>
                    <w:t>55</w:t>
                  </w:r>
                </w:p>
              </w:tc>
            </w:tr>
          </w:tbl>
          <w:p>
            <w:pPr>
              <w:spacing w:line="360" w:lineRule="auto"/>
              <w:ind w:right="73" w:rightChars="35" w:firstLine="480" w:firstLineChars="200"/>
              <w:rPr>
                <w:b w:val="0"/>
                <w:bCs w:val="0"/>
                <w:sz w:val="24"/>
              </w:rPr>
            </w:pPr>
            <w:r>
              <w:rPr>
                <w:rFonts w:hint="eastAsia"/>
                <w:b w:val="0"/>
                <w:bCs w:val="0"/>
                <w:sz w:val="24"/>
                <w:lang w:eastAsia="zh-CN"/>
              </w:rPr>
              <w:t>（</w:t>
            </w:r>
            <w:r>
              <w:rPr>
                <w:rFonts w:hint="eastAsia"/>
                <w:b w:val="0"/>
                <w:bCs w:val="0"/>
                <w:sz w:val="24"/>
                <w:lang w:val="en-US" w:eastAsia="zh-CN"/>
              </w:rPr>
              <w:t>4）</w:t>
            </w:r>
            <w:r>
              <w:rPr>
                <w:b w:val="0"/>
                <w:bCs w:val="0"/>
                <w:sz w:val="24"/>
              </w:rPr>
              <w:t>固体废物污染控制标准</w:t>
            </w:r>
          </w:p>
          <w:p>
            <w:pPr>
              <w:spacing w:line="360" w:lineRule="auto"/>
              <w:ind w:firstLine="480" w:firstLineChars="200"/>
              <w:rPr>
                <w:sz w:val="24"/>
              </w:rPr>
            </w:pPr>
            <w:r>
              <w:rPr>
                <w:sz w:val="24"/>
              </w:rPr>
              <w:t>一般工业固废贮存执行</w:t>
            </w:r>
            <w:r>
              <w:rPr>
                <w:rFonts w:hint="default"/>
                <w:sz w:val="24"/>
              </w:rPr>
              <w:fldChar w:fldCharType="begin"/>
            </w:r>
            <w:r>
              <w:rPr>
                <w:rFonts w:hint="default"/>
                <w:sz w:val="24"/>
              </w:rPr>
              <w:instrText xml:space="preserve"> HYPERLINK "https://www.so.com/link?m=b72iGnFSNt64NItUAOUs/eNBZ4WMY4SPlpZKBV6nGE+FaA4aYWPAFKk96FVgCHbLRJl6OqSAMejHdZQznGzWCXjzA0SBAY8DXRXlPHfJeXzd615Q+oIY2enV25xeh0zKynSLy3xHAwKV5pMYxkhhbjgW8JSEQXvxeqdyLRnuXYeNGbcrsPJsvR5EUAFkmnZRhlTeEZG/FZTQ7HwI7VQaoDBz0Jn4yZjBVHIdxGllPhCNAxC1lnhJ7seHg9Phx1OVfN6vAWcW8MRtxN8xkTPHPNcgEa/bju/VhzJEZgVHAKIxvHpNdjvnLzhsagq7ahdloUcuK3e6qu7LCT9K0UF6iNlC4YXuun7d7T/8QtUCeK+wQPUtGZV70JzTD3vtZ3k3iPVMy+aplS9u06Vf3dwGYhVs15hM=" \t "https://www.so.com/_blank" </w:instrText>
            </w:r>
            <w:r>
              <w:rPr>
                <w:rFonts w:hint="default"/>
                <w:sz w:val="24"/>
              </w:rPr>
              <w:fldChar w:fldCharType="separate"/>
            </w:r>
            <w:r>
              <w:rPr>
                <w:rFonts w:hint="default"/>
                <w:sz w:val="24"/>
              </w:rPr>
              <w:t>《一般工业固体废物贮存和填埋污染控制标准》</w:t>
            </w:r>
            <w:r>
              <w:rPr>
                <w:rFonts w:hint="eastAsia"/>
                <w:sz w:val="24"/>
                <w:lang w:eastAsia="zh-CN"/>
              </w:rPr>
              <w:t>（</w:t>
            </w:r>
            <w:r>
              <w:rPr>
                <w:rFonts w:hint="default"/>
                <w:sz w:val="24"/>
              </w:rPr>
              <w:t>GB_18599-2020</w:t>
            </w:r>
            <w:r>
              <w:rPr>
                <w:rFonts w:hint="eastAsia"/>
                <w:sz w:val="24"/>
                <w:lang w:eastAsia="zh-CN"/>
              </w:rPr>
              <w:t>）</w:t>
            </w:r>
            <w:r>
              <w:rPr>
                <w:rFonts w:hint="default"/>
                <w:sz w:val="24"/>
              </w:rPr>
              <w:fldChar w:fldCharType="end"/>
            </w:r>
            <w:r>
              <w:rPr>
                <w:rFonts w:hint="eastAsia"/>
                <w:sz w:val="24"/>
                <w:szCs w:val="24"/>
              </w:rPr>
              <w:t>标准</w:t>
            </w:r>
            <w:r>
              <w:rPr>
                <w:sz w:val="24"/>
              </w:rPr>
              <w:t>，危险废物贮存执行《危险废弃物贮存污染控制标准》（GB18597-2001）及</w:t>
            </w:r>
            <w:r>
              <w:rPr>
                <w:rFonts w:hint="eastAsia"/>
                <w:sz w:val="24"/>
              </w:rPr>
              <w:t>2013年</w:t>
            </w:r>
            <w:r>
              <w:rPr>
                <w:sz w:val="24"/>
              </w:rPr>
              <w:t>修改单中标准。</w:t>
            </w: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9"/>
              <w:rPr>
                <w:sz w:val="24"/>
              </w:rPr>
            </w:pPr>
          </w:p>
          <w:p>
            <w:pPr>
              <w:spacing w:line="360" w:lineRule="auto"/>
              <w:rPr>
                <w:sz w:val="24"/>
              </w:rPr>
            </w:pPr>
          </w:p>
        </w:tc>
      </w:tr>
    </w:tbl>
    <w:p>
      <w:pPr>
        <w:widowControl/>
        <w:jc w:val="left"/>
        <w:rPr>
          <w:b/>
          <w:sz w:val="28"/>
          <w:szCs w:val="28"/>
        </w:rPr>
      </w:pPr>
      <w:r>
        <w:rPr>
          <w:rFonts w:hint="eastAsia"/>
          <w:b/>
          <w:sz w:val="28"/>
          <w:szCs w:val="28"/>
        </w:rPr>
        <w:t xml:space="preserve">表二 </w:t>
      </w:r>
    </w:p>
    <w:tbl>
      <w:tblPr>
        <w:tblStyle w:val="21"/>
        <w:tblW w:w="9333" w:type="dxa"/>
        <w:tblInd w:w="-3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30" w:hRule="atLeast"/>
        </w:trPr>
        <w:tc>
          <w:tcPr>
            <w:tcW w:w="9333" w:type="dxa"/>
          </w:tcPr>
          <w:p>
            <w:pPr>
              <w:widowControl/>
              <w:spacing w:line="360" w:lineRule="auto"/>
              <w:rPr>
                <w:rFonts w:cs="Times New Roman"/>
                <w:b/>
                <w:color w:val="000000" w:themeColor="text1"/>
                <w:sz w:val="24"/>
                <w14:textFill>
                  <w14:solidFill>
                    <w14:schemeClr w14:val="tx1"/>
                  </w14:solidFill>
                </w14:textFill>
              </w:rPr>
            </w:pPr>
            <w:r>
              <w:rPr>
                <w:rFonts w:hint="eastAsia" w:cs="Times New Roman"/>
                <w:b/>
                <w:color w:val="000000" w:themeColor="text1"/>
                <w:sz w:val="24"/>
                <w14:textFill>
                  <w14:solidFill>
                    <w14:schemeClr w14:val="tx1"/>
                  </w14:solidFill>
                </w14:textFill>
              </w:rPr>
              <w:t>工程建设内容：</w:t>
            </w:r>
          </w:p>
          <w:p>
            <w:pPr>
              <w:widowControl/>
              <w:spacing w:line="360" w:lineRule="auto"/>
              <w:ind w:firstLine="482" w:firstLineChars="200"/>
              <w:rPr>
                <w:rFonts w:cs="Times New Roman"/>
                <w:b/>
                <w:sz w:val="24"/>
              </w:rPr>
            </w:pPr>
            <w:r>
              <w:rPr>
                <w:rFonts w:hint="eastAsia" w:cs="Times New Roman"/>
                <w:b/>
                <w:sz w:val="24"/>
              </w:rPr>
              <w:t>1、</w:t>
            </w:r>
            <w:r>
              <w:rPr>
                <w:rFonts w:cs="Times New Roman"/>
                <w:b/>
                <w:sz w:val="24"/>
              </w:rPr>
              <w:t>项目背景及由来</w:t>
            </w:r>
          </w:p>
          <w:p>
            <w:pPr>
              <w:pStyle w:val="25"/>
              <w:spacing w:line="360" w:lineRule="auto"/>
              <w:ind w:firstLine="480" w:firstLineChars="200"/>
              <w:jc w:val="both"/>
              <w:rPr>
                <w:rFonts w:ascii="Times New Roman" w:hAnsi="Times New Roman" w:eastAsiaTheme="minorEastAsia"/>
                <w:sz w:val="24"/>
              </w:rPr>
            </w:pPr>
            <w:r>
              <w:rPr>
                <w:rFonts w:ascii="Times New Roman" w:hAnsi="Times New Roman" w:eastAsiaTheme="minorEastAsia"/>
                <w:sz w:val="24"/>
              </w:rPr>
              <w:t>（1）背景</w:t>
            </w:r>
          </w:p>
          <w:p>
            <w:pPr>
              <w:widowControl/>
              <w:spacing w:line="360" w:lineRule="auto"/>
              <w:ind w:firstLine="480" w:firstLineChars="200"/>
              <w:rPr>
                <w:rFonts w:hint="eastAsia" w:cs="Times New Roman"/>
                <w:color w:val="000000" w:themeColor="text1"/>
                <w:sz w:val="24"/>
                <w:lang w:val="en-US" w:eastAsia="zh-CN"/>
                <w14:textFill>
                  <w14:solidFill>
                    <w14:schemeClr w14:val="tx1"/>
                  </w14:solidFill>
                </w14:textFill>
              </w:rPr>
            </w:pPr>
            <w:r>
              <w:rPr>
                <w:rFonts w:hint="eastAsia" w:ascii="Times New Roman" w:hAnsi="Times New Roman"/>
                <w:sz w:val="24"/>
              </w:rPr>
              <w:t>安徽泉生楼梯有限公司</w:t>
            </w:r>
            <w:r>
              <w:rPr>
                <w:rFonts w:cs="Times New Roman"/>
                <w:color w:val="000000" w:themeColor="text1"/>
                <w:sz w:val="24"/>
                <w14:textFill>
                  <w14:solidFill>
                    <w14:schemeClr w14:val="tx1"/>
                  </w14:solidFill>
                </w14:textFill>
              </w:rPr>
              <w:t>位于</w:t>
            </w:r>
            <w:r>
              <w:rPr>
                <w:sz w:val="24"/>
                <w:u w:val="none"/>
              </w:rPr>
              <w:t>安徽省六安市舒城县</w:t>
            </w:r>
            <w:r>
              <w:rPr>
                <w:rFonts w:hint="eastAsia"/>
                <w:sz w:val="24"/>
                <w:u w:val="none"/>
              </w:rPr>
              <w:t>棠树乡凌西路舒城友源电子科技有限公司院内1幢</w:t>
            </w:r>
            <w:r>
              <w:rPr>
                <w:rFonts w:cs="Times New Roman"/>
                <w:color w:val="000000" w:themeColor="text1"/>
                <w:sz w:val="24"/>
                <w14:textFill>
                  <w14:solidFill>
                    <w14:schemeClr w14:val="tx1"/>
                  </w14:solidFill>
                </w14:textFill>
              </w:rPr>
              <w:t>，主要生产各类</w:t>
            </w:r>
            <w:r>
              <w:rPr>
                <w:rFonts w:hint="eastAsia" w:ascii="Times New Roman" w:hAnsi="Times New Roman"/>
                <w:color w:val="000000"/>
                <w:sz w:val="24"/>
              </w:rPr>
              <w:t>实木楼梯、实木护栏、配套家具</w:t>
            </w:r>
            <w:r>
              <w:rPr>
                <w:rFonts w:cs="Times New Roman"/>
                <w:color w:val="000000" w:themeColor="text1"/>
                <w:sz w:val="24"/>
                <w14:textFill>
                  <w14:solidFill>
                    <w14:schemeClr w14:val="tx1"/>
                  </w14:solidFill>
                </w14:textFill>
              </w:rPr>
              <w:t>等。</w:t>
            </w:r>
            <w:r>
              <w:rPr>
                <w:rFonts w:hint="eastAsia" w:cs="Times New Roman"/>
                <w:color w:val="000000" w:themeColor="text1"/>
                <w:sz w:val="24"/>
                <w:lang w:val="en-US" w:eastAsia="zh-CN"/>
                <w14:textFill>
                  <w14:solidFill>
                    <w14:schemeClr w14:val="tx1"/>
                  </w14:solidFill>
                </w14:textFill>
              </w:rPr>
              <w:t>2021年9月</w:t>
            </w:r>
            <w:r>
              <w:rPr>
                <w:rFonts w:hint="eastAsia" w:ascii="Times New Roman" w:hAnsi="Times New Roman"/>
                <w:sz w:val="24"/>
              </w:rPr>
              <w:t>安徽泉生楼梯有限公司</w:t>
            </w:r>
            <w:r>
              <w:rPr>
                <w:rFonts w:hint="eastAsia" w:cs="Times New Roman"/>
                <w:color w:val="000000" w:themeColor="text1"/>
                <w:sz w:val="24"/>
                <w:lang w:val="en-US" w:eastAsia="zh-CN"/>
                <w14:textFill>
                  <w14:solidFill>
                    <w14:schemeClr w14:val="tx1"/>
                  </w14:solidFill>
                </w14:textFill>
              </w:rPr>
              <w:t>计划新增</w:t>
            </w:r>
            <w:r>
              <w:rPr>
                <w:rFonts w:hint="eastAsia"/>
                <w:color w:val="000000"/>
                <w:sz w:val="24"/>
              </w:rPr>
              <w:t>实木楼梯家具</w:t>
            </w:r>
            <w:r>
              <w:rPr>
                <w:rFonts w:hint="eastAsia"/>
                <w:color w:val="000000"/>
                <w:sz w:val="24"/>
                <w:lang w:eastAsia="zh-CN"/>
              </w:rPr>
              <w:t>加工</w:t>
            </w:r>
            <w:r>
              <w:rPr>
                <w:rFonts w:hint="eastAsia" w:cs="Times New Roman"/>
                <w:color w:val="000000" w:themeColor="text1"/>
                <w:sz w:val="24"/>
                <w:lang w:val="en-US" w:eastAsia="zh-CN"/>
                <w14:textFill>
                  <w14:solidFill>
                    <w14:schemeClr w14:val="tx1"/>
                  </w14:solidFill>
                </w14:textFill>
              </w:rPr>
              <w:t>生产线，</w:t>
            </w:r>
            <w:r>
              <w:rPr>
                <w:rFonts w:hint="eastAsia" w:ascii="Times New Roman" w:hAnsi="Times New Roman" w:cs="Times New Roman"/>
                <w:color w:val="000000" w:themeColor="text1"/>
                <w:sz w:val="24"/>
                <w:szCs w:val="24"/>
                <w:lang w:val="en-US" w:eastAsia="zh-CN"/>
                <w14:textFill>
                  <w14:solidFill>
                    <w14:schemeClr w14:val="tx1"/>
                  </w14:solidFill>
                </w14:textFill>
              </w:rPr>
              <w:t>当月</w:t>
            </w:r>
            <w:r>
              <w:rPr>
                <w:rFonts w:hint="default" w:ascii="Times New Roman" w:hAnsi="Times New Roman" w:cs="Times New Roman"/>
                <w:color w:val="000000" w:themeColor="text1"/>
                <w:sz w:val="24"/>
                <w:szCs w:val="24"/>
                <w14:textFill>
                  <w14:solidFill>
                    <w14:schemeClr w14:val="tx1"/>
                  </w14:solidFill>
                </w14:textFill>
              </w:rPr>
              <w:t>委托</w:t>
            </w:r>
            <w:r>
              <w:rPr>
                <w:rFonts w:hint="eastAsia"/>
                <w:sz w:val="24"/>
                <w:lang w:eastAsia="zh-CN"/>
              </w:rPr>
              <w:t>安徽锦环环境科技有限公司</w:t>
            </w:r>
            <w:r>
              <w:rPr>
                <w:rFonts w:hint="default" w:ascii="Times New Roman" w:hAnsi="Times New Roman" w:cs="Times New Roman"/>
                <w:color w:val="000000" w:themeColor="text1"/>
                <w:sz w:val="24"/>
                <w:szCs w:val="24"/>
                <w14:textFill>
                  <w14:solidFill>
                    <w14:schemeClr w14:val="tx1"/>
                  </w14:solidFill>
                </w14:textFill>
              </w:rPr>
              <w:t>对该项目进行了环境影响评价工作，</w:t>
            </w:r>
            <w:r>
              <w:rPr>
                <w:rFonts w:hint="eastAsia" w:ascii="Times New Roman" w:hAnsi="Times New Roman" w:cs="Times New Roman"/>
                <w:color w:val="000000" w:themeColor="text1"/>
                <w:sz w:val="24"/>
                <w:szCs w:val="24"/>
                <w:lang w:eastAsia="zh-CN"/>
                <w14:textFill>
                  <w14:solidFill>
                    <w14:schemeClr w14:val="tx1"/>
                  </w14:solidFill>
                </w14:textFill>
              </w:rPr>
              <w:t>并</w:t>
            </w:r>
            <w:r>
              <w:rPr>
                <w:rFonts w:hint="default" w:ascii="Times New Roman" w:hAnsi="Times New Roman" w:cs="Times New Roman"/>
                <w:sz w:val="24"/>
                <w:szCs w:val="24"/>
              </w:rPr>
              <w:t>于</w:t>
            </w:r>
            <w:r>
              <w:rPr>
                <w:rFonts w:hint="eastAsia" w:ascii="Times New Roman" w:hAnsi="Times New Roman" w:cs="Times New Roman"/>
                <w:sz w:val="24"/>
                <w:szCs w:val="24"/>
                <w:lang w:val="en-US" w:eastAsia="zh-CN"/>
              </w:rPr>
              <w:t>202</w:t>
            </w:r>
            <w:r>
              <w:rPr>
                <w:rFonts w:hint="eastAsia" w:cs="Times New Roman"/>
                <w:sz w:val="24"/>
                <w:szCs w:val="24"/>
                <w:lang w:val="en-US" w:eastAsia="zh-CN"/>
              </w:rPr>
              <w:t>1</w:t>
            </w:r>
            <w:r>
              <w:rPr>
                <w:rFonts w:hint="eastAsia" w:ascii="Times New Roman" w:hAnsi="Times New Roman" w:cs="Times New Roman"/>
                <w:sz w:val="24"/>
                <w:szCs w:val="24"/>
                <w:lang w:val="en-US" w:eastAsia="zh-CN"/>
              </w:rPr>
              <w:t>年</w:t>
            </w:r>
            <w:r>
              <w:rPr>
                <w:rFonts w:hint="eastAsia" w:cs="Times New Roman"/>
                <w:sz w:val="24"/>
                <w:szCs w:val="24"/>
                <w:lang w:val="en-US" w:eastAsia="zh-CN"/>
              </w:rPr>
              <w:t>10</w:t>
            </w:r>
            <w:r>
              <w:rPr>
                <w:rFonts w:hint="default" w:ascii="Times New Roman" w:hAnsi="Times New Roman" w:cs="Times New Roman"/>
                <w:sz w:val="24"/>
                <w:szCs w:val="24"/>
              </w:rPr>
              <w:t>月</w:t>
            </w:r>
            <w:r>
              <w:rPr>
                <w:rFonts w:hint="eastAsia" w:cs="Times New Roman"/>
                <w:sz w:val="24"/>
                <w:szCs w:val="24"/>
                <w:lang w:val="en-US" w:eastAsia="zh-CN"/>
              </w:rPr>
              <w:t>8</w:t>
            </w:r>
            <w:r>
              <w:rPr>
                <w:rFonts w:hint="default" w:ascii="Times New Roman" w:hAnsi="Times New Roman" w:cs="Times New Roman"/>
                <w:sz w:val="24"/>
                <w:szCs w:val="24"/>
              </w:rPr>
              <w:t>日取得六安</w:t>
            </w:r>
            <w:r>
              <w:rPr>
                <w:rFonts w:hint="default" w:ascii="Times New Roman" w:hAnsi="Times New Roman" w:cs="Times New Roman"/>
                <w:sz w:val="24"/>
                <w:szCs w:val="24"/>
                <w:lang w:eastAsia="zh-CN"/>
              </w:rPr>
              <w:t>市</w:t>
            </w:r>
            <w:r>
              <w:rPr>
                <w:rFonts w:hint="eastAsia" w:cs="Times New Roman"/>
                <w:sz w:val="24"/>
                <w:szCs w:val="24"/>
                <w:lang w:eastAsia="zh-CN"/>
              </w:rPr>
              <w:t>舒城县</w:t>
            </w:r>
            <w:r>
              <w:rPr>
                <w:rFonts w:hint="default" w:ascii="Times New Roman" w:hAnsi="Times New Roman" w:cs="Times New Roman"/>
                <w:sz w:val="24"/>
                <w:szCs w:val="24"/>
              </w:rPr>
              <w:t>生态环境分局对该项目的环评报告表的批复文件（</w:t>
            </w:r>
            <w:r>
              <w:rPr>
                <w:rFonts w:hint="eastAsia" w:cs="Times New Roman"/>
                <w:sz w:val="24"/>
                <w:szCs w:val="24"/>
                <w:lang w:eastAsia="zh-CN"/>
              </w:rPr>
              <w:t>舒</w:t>
            </w:r>
            <w:r>
              <w:rPr>
                <w:rFonts w:hint="eastAsia" w:ascii="Times New Roman" w:hAnsi="Times New Roman" w:cs="Times New Roman"/>
                <w:sz w:val="24"/>
                <w:szCs w:val="24"/>
                <w:lang w:eastAsia="zh-CN"/>
              </w:rPr>
              <w:t>环评</w:t>
            </w:r>
            <w:r>
              <w:rPr>
                <w:rFonts w:hint="default" w:ascii="Times New Roman" w:hAnsi="Times New Roman" w:cs="Times New Roman"/>
                <w:sz w:val="24"/>
                <w:szCs w:val="24"/>
              </w:rPr>
              <w:t>[202</w:t>
            </w:r>
            <w:r>
              <w:rPr>
                <w:rFonts w:hint="eastAsia" w:cs="Times New Roman"/>
                <w:sz w:val="24"/>
                <w:szCs w:val="24"/>
                <w:lang w:val="en-US" w:eastAsia="zh-CN"/>
              </w:rPr>
              <w:t>1</w:t>
            </w:r>
            <w:r>
              <w:rPr>
                <w:rFonts w:hint="default" w:ascii="Times New Roman" w:hAnsi="Times New Roman" w:cs="Times New Roman"/>
                <w:sz w:val="24"/>
                <w:szCs w:val="24"/>
              </w:rPr>
              <w:t>]</w:t>
            </w:r>
            <w:r>
              <w:rPr>
                <w:rFonts w:hint="eastAsia" w:cs="Times New Roman"/>
                <w:sz w:val="24"/>
                <w:szCs w:val="24"/>
                <w:lang w:val="en-US" w:eastAsia="zh-CN"/>
              </w:rPr>
              <w:t>51</w:t>
            </w:r>
            <w:r>
              <w:rPr>
                <w:rFonts w:hint="default" w:ascii="Times New Roman" w:hAnsi="Times New Roman" w:cs="Times New Roman"/>
                <w:sz w:val="24"/>
                <w:szCs w:val="24"/>
              </w:rPr>
              <w:t>号）。</w:t>
            </w:r>
            <w:r>
              <w:rPr>
                <w:rFonts w:hint="eastAsia" w:ascii="Times New Roman" w:hAnsi="Times New Roman" w:cs="Times New Roman"/>
                <w:sz w:val="24"/>
                <w:szCs w:val="24"/>
                <w:lang w:eastAsia="zh-CN"/>
              </w:rPr>
              <w:t>项目</w:t>
            </w:r>
            <w:r>
              <w:rPr>
                <w:rFonts w:hint="default" w:ascii="Times New Roman" w:hAnsi="Times New Roman" w:cs="Times New Roman"/>
                <w:sz w:val="24"/>
                <w:szCs w:val="24"/>
              </w:rPr>
              <w:t>2</w:t>
            </w:r>
            <w:r>
              <w:rPr>
                <w:rFonts w:hint="default" w:ascii="Times New Roman" w:hAnsi="Times New Roman" w:cs="Times New Roman"/>
                <w:color w:val="000000" w:themeColor="text1"/>
                <w:sz w:val="24"/>
                <w:szCs w:val="24"/>
                <w14:textFill>
                  <w14:solidFill>
                    <w14:schemeClr w14:val="tx1"/>
                  </w14:solidFill>
                </w14:textFill>
              </w:rPr>
              <w:t>02</w:t>
            </w:r>
            <w:r>
              <w:rPr>
                <w:rFonts w:hint="eastAsia"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val="en-US" w:eastAsia="zh-CN"/>
                <w14:textFill>
                  <w14:solidFill>
                    <w14:schemeClr w14:val="tx1"/>
                  </w14:solidFill>
                </w14:textFill>
              </w:rPr>
              <w:t>11</w:t>
            </w:r>
            <w:r>
              <w:rPr>
                <w:rFonts w:hint="default" w:ascii="Times New Roman" w:hAnsi="Times New Roman" w:cs="Times New Roman"/>
                <w:color w:val="000000" w:themeColor="text1"/>
                <w:sz w:val="24"/>
                <w:szCs w:val="24"/>
                <w14:textFill>
                  <w14:solidFill>
                    <w14:schemeClr w14:val="tx1"/>
                  </w14:solidFill>
                </w14:textFill>
              </w:rPr>
              <w:t>月开工建设，202</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月项目建成并进行调试。</w:t>
            </w:r>
          </w:p>
          <w:p>
            <w:pPr>
              <w:widowControl/>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（2）任务由来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eastAsiaTheme="minorEastAsia"/>
                <w:bCs/>
                <w:color w:val="000000" w:themeColor="text1"/>
                <w:kern w:val="0"/>
                <w:sz w:val="24"/>
                <w14:textFill>
                  <w14:solidFill>
                    <w14:schemeClr w14:val="tx1"/>
                  </w14:solidFill>
                </w14:textFill>
              </w:rPr>
              <w:t>除按</w:t>
            </w:r>
            <w:r>
              <w:rPr>
                <w:rFonts w:hint="default" w:ascii="Times New Roman" w:hAnsi="Times New Roman" w:cs="Times New Roman" w:eastAsiaTheme="minorEastAsia"/>
                <w:bCs/>
                <w:color w:val="000000" w:themeColor="text1"/>
                <w:sz w:val="24"/>
                <w14:textFill>
                  <w14:solidFill>
                    <w14:schemeClr w14:val="tx1"/>
                  </w14:solidFill>
                </w14:textFill>
              </w:rPr>
              <w:t>照国家规定需要保密的情形外，建设单位应当依法向社会公开验收报告。</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根据国家环保部《关于规范建设单位自主开展项目竣工环境保护验收的通知》和《建设项目竣工环境保护验收暂行办法》（国环规环评[2017]4号）有关规定：</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建设单位是项目环保设施验收的责任主体。应按照规定的相关程序开展验收工作</w:t>
            </w:r>
            <w:r>
              <w:rPr>
                <w:rFonts w:hint="default" w:ascii="Times New Roman" w:hAnsi="Times New Roman" w:cs="Times New Roman" w:eastAsiaTheme="minorEastAsia"/>
                <w:color w:val="000000" w:themeColor="text1"/>
                <w:sz w:val="24"/>
                <w14:textFill>
                  <w14:solidFill>
                    <w14:schemeClr w14:val="tx1"/>
                  </w14:solidFill>
                </w14:textFill>
              </w:rPr>
              <w:t>。</w:t>
            </w:r>
          </w:p>
          <w:p>
            <w:pPr>
              <w:pStyle w:val="13"/>
              <w:keepNext w:val="0"/>
              <w:keepLines w:val="0"/>
              <w:pageBreakBefore w:val="0"/>
              <w:kinsoku/>
              <w:wordWrap/>
              <w:overflowPunct/>
              <w:topLinePunct w:val="0"/>
              <w:autoSpaceDE/>
              <w:autoSpaceDN/>
              <w:bidi w:val="0"/>
              <w:adjustRightInd/>
              <w:snapToGrid/>
              <w:spacing w:after="0" w:line="360" w:lineRule="auto"/>
              <w:ind w:left="0" w:leftChars="0" w:firstLine="480" w:firstLineChars="200"/>
              <w:textAlignment w:val="auto"/>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根据《排污许可管理办法（试行）》、《固定污染源排污许可分类名录》（2019年版），</w:t>
            </w:r>
            <w:r>
              <w:rPr>
                <w:rFonts w:hint="eastAsia"/>
                <w:color w:val="000000" w:themeColor="text1"/>
                <w:sz w:val="24"/>
                <w:szCs w:val="32"/>
                <w:lang w:eastAsia="zh-CN"/>
                <w14:textFill>
                  <w14:solidFill>
                    <w14:schemeClr w14:val="tx1"/>
                  </w14:solidFill>
                </w14:textFill>
              </w:rPr>
              <w:t>安徽泉生楼梯有限公司</w:t>
            </w:r>
            <w:r>
              <w:rPr>
                <w:rFonts w:hint="default"/>
                <w:color w:val="000000" w:themeColor="text1"/>
                <w:sz w:val="24"/>
                <w:szCs w:val="32"/>
                <w14:textFill>
                  <w14:solidFill>
                    <w14:schemeClr w14:val="tx1"/>
                  </w14:solidFill>
                </w14:textFill>
              </w:rPr>
              <w:t>排污许可证属于</w:t>
            </w:r>
            <w:r>
              <w:rPr>
                <w:rFonts w:hint="eastAsia"/>
                <w:color w:val="000000" w:themeColor="text1"/>
                <w:sz w:val="24"/>
                <w:szCs w:val="32"/>
                <w:lang w:eastAsia="zh-CN"/>
                <w14:textFill>
                  <w14:solidFill>
                    <w14:schemeClr w14:val="tx1"/>
                  </w14:solidFill>
                </w14:textFill>
              </w:rPr>
              <w:t>登记</w:t>
            </w:r>
            <w:r>
              <w:rPr>
                <w:rFonts w:hint="default"/>
                <w:color w:val="000000" w:themeColor="text1"/>
                <w:sz w:val="24"/>
                <w:szCs w:val="32"/>
                <w14:textFill>
                  <w14:solidFill>
                    <w14:schemeClr w14:val="tx1"/>
                  </w14:solidFill>
                </w14:textFill>
              </w:rPr>
              <w:t>管理，已在全国排污许可证管理信息平台填报排污信息</w:t>
            </w:r>
            <w:r>
              <w:rPr>
                <w:rFonts w:hint="eastAsia"/>
                <w:color w:val="000000" w:themeColor="text1"/>
                <w:sz w:val="24"/>
                <w:szCs w:val="24"/>
                <w:lang w:eastAsia="zh-CN"/>
                <w14:textFill>
                  <w14:solidFill>
                    <w14:schemeClr w14:val="tx1"/>
                  </w14:solidFill>
                </w14:textFill>
              </w:rPr>
              <w:t>，编号为：91341523MA8LJ7LY5Y001X</w:t>
            </w:r>
            <w:r>
              <w:rPr>
                <w:rFonts w:hint="eastAsia"/>
                <w:color w:val="000000" w:themeColor="text1"/>
                <w:sz w:val="24"/>
                <w:szCs w:val="24"/>
                <w:lang w:val="en-US" w:eastAsia="zh-CN"/>
                <w14:textFill>
                  <w14:solidFill>
                    <w14:schemeClr w14:val="tx1"/>
                  </w14:solidFill>
                </w14:textFill>
              </w:rPr>
              <w:t>。</w:t>
            </w:r>
          </w:p>
          <w:p>
            <w:pPr>
              <w:widowControl/>
              <w:spacing w:line="360" w:lineRule="auto"/>
              <w:ind w:firstLine="480" w:firstLineChars="200"/>
              <w:rPr>
                <w:rFonts w:cs="Times New Roman"/>
                <w:color w:val="000000" w:themeColor="text1"/>
                <w:sz w:val="24"/>
                <w:highlight w:val="none"/>
                <w14:textFill>
                  <w14:solidFill>
                    <w14:schemeClr w14:val="tx1"/>
                  </w14:solidFill>
                </w14:textFill>
              </w:rPr>
            </w:pPr>
            <w:r>
              <w:rPr>
                <w:rFonts w:cs="Times New Roman"/>
                <w:color w:val="000000" w:themeColor="text1"/>
                <w:sz w:val="24"/>
                <w14:textFill>
                  <w14:solidFill>
                    <w14:schemeClr w14:val="tx1"/>
                  </w14:solidFill>
                </w14:textFill>
              </w:rPr>
              <w:t>因此，为考核该建设项目环保“三同时”执行情况及各项污染治理设施试运行性能和效果，依据国家环境保护部《建设项目竣工环境保护验收暂行办法</w:t>
            </w:r>
            <w:r>
              <w:rPr>
                <w:rFonts w:cs="Times New Roman"/>
                <w:sz w:val="24"/>
              </w:rPr>
              <w:t>》要求，20</w:t>
            </w:r>
            <w:r>
              <w:rPr>
                <w:rFonts w:hint="eastAsia" w:cs="Times New Roman"/>
                <w:sz w:val="24"/>
                <w:lang w:val="en-US" w:eastAsia="zh-CN"/>
              </w:rPr>
              <w:t>22</w:t>
            </w:r>
            <w:r>
              <w:rPr>
                <w:rFonts w:cs="Times New Roman"/>
                <w:sz w:val="24"/>
              </w:rPr>
              <w:t>年</w:t>
            </w:r>
            <w:r>
              <w:rPr>
                <w:rFonts w:hint="eastAsia" w:cs="Times New Roman"/>
                <w:sz w:val="24"/>
                <w:lang w:val="en-US" w:eastAsia="zh-CN"/>
              </w:rPr>
              <w:t>10</w:t>
            </w:r>
            <w:r>
              <w:rPr>
                <w:rFonts w:cs="Times New Roman"/>
                <w:sz w:val="24"/>
              </w:rPr>
              <w:t>月，</w:t>
            </w:r>
            <w:r>
              <w:rPr>
                <w:rFonts w:hint="eastAsia" w:ascii="Times New Roman" w:hAnsi="Times New Roman"/>
                <w:sz w:val="24"/>
              </w:rPr>
              <w:t>安徽泉生楼梯有限公司</w:t>
            </w:r>
            <w:r>
              <w:rPr>
                <w:rFonts w:cs="Times New Roman"/>
                <w:sz w:val="24"/>
              </w:rPr>
              <w:t>组织开展</w:t>
            </w:r>
            <w:r>
              <w:rPr>
                <w:rFonts w:hint="eastAsia" w:cs="Times New Roman"/>
                <w:sz w:val="24"/>
                <w:lang w:eastAsia="zh-CN"/>
              </w:rPr>
              <w:t>“</w:t>
            </w:r>
            <w:r>
              <w:rPr>
                <w:rFonts w:hint="eastAsia"/>
                <w:sz w:val="24"/>
              </w:rPr>
              <w:t>安徽泉生楼梯有限公司实木楼梯家具加工</w:t>
            </w:r>
            <w:r>
              <w:rPr>
                <w:sz w:val="24"/>
              </w:rPr>
              <w:t>项目</w:t>
            </w:r>
            <w:r>
              <w:rPr>
                <w:rFonts w:hint="eastAsia" w:cs="Times New Roman"/>
                <w:sz w:val="24"/>
                <w:lang w:eastAsia="zh-CN"/>
              </w:rPr>
              <w:t>”</w:t>
            </w:r>
            <w:r>
              <w:rPr>
                <w:rFonts w:cs="Times New Roman"/>
                <w:sz w:val="24"/>
              </w:rPr>
              <w:t>自主验收工作</w:t>
            </w:r>
            <w:r>
              <w:rPr>
                <w:rFonts w:cs="Times New Roman"/>
                <w:color w:val="FF0000"/>
                <w:sz w:val="24"/>
              </w:rPr>
              <w:t>，</w:t>
            </w:r>
            <w:r>
              <w:rPr>
                <w:rFonts w:cs="Times New Roman"/>
                <w:color w:val="000000" w:themeColor="text1"/>
                <w:sz w:val="24"/>
                <w14:textFill>
                  <w14:solidFill>
                    <w14:schemeClr w14:val="tx1"/>
                  </w14:solidFill>
                </w14:textFill>
              </w:rPr>
              <w:t>于20</w:t>
            </w:r>
            <w:r>
              <w:rPr>
                <w:rFonts w:hint="eastAsia" w:cs="Times New Roman"/>
                <w:color w:val="000000" w:themeColor="text1"/>
                <w:sz w:val="24"/>
                <w:lang w:val="en-US" w:eastAsia="zh-CN"/>
                <w14:textFill>
                  <w14:solidFill>
                    <w14:schemeClr w14:val="tx1"/>
                  </w14:solidFill>
                </w14:textFill>
              </w:rPr>
              <w:t>22</w:t>
            </w:r>
            <w:r>
              <w:rPr>
                <w:rFonts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3</w:t>
            </w:r>
            <w:r>
              <w:rPr>
                <w:rFonts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w:t>
            </w:r>
            <w:r>
              <w:rPr>
                <w:rFonts w:cs="Times New Roman"/>
                <w:color w:val="000000" w:themeColor="text1"/>
                <w:sz w:val="24"/>
                <w14:textFill>
                  <w14:solidFill>
                    <w14:schemeClr w14:val="tx1"/>
                  </w14:solidFill>
                </w14:textFill>
              </w:rPr>
              <w:t>日制定项目污染物监测方案，</w:t>
            </w:r>
            <w:r>
              <w:rPr>
                <w:rFonts w:cs="Times New Roman"/>
                <w:color w:val="000000" w:themeColor="text1"/>
                <w:sz w:val="24"/>
                <w:highlight w:val="none"/>
                <w14:textFill>
                  <w14:solidFill>
                    <w14:schemeClr w14:val="tx1"/>
                  </w14:solidFill>
                </w14:textFill>
              </w:rPr>
              <w:t>委托安徽川达检测科技有限公司于20</w:t>
            </w:r>
            <w:r>
              <w:rPr>
                <w:rFonts w:hint="eastAsia" w:cs="Times New Roman"/>
                <w:color w:val="000000" w:themeColor="text1"/>
                <w:sz w:val="24"/>
                <w:highlight w:val="none"/>
                <w14:textFill>
                  <w14:solidFill>
                    <w14:schemeClr w14:val="tx1"/>
                  </w14:solidFill>
                </w14:textFill>
              </w:rPr>
              <w:t>2</w:t>
            </w:r>
            <w:r>
              <w:rPr>
                <w:rFonts w:hint="eastAsia" w:cs="Times New Roman"/>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年</w:t>
            </w:r>
            <w:r>
              <w:rPr>
                <w:rFonts w:hint="eastAsia" w:cs="Times New Roman"/>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月</w:t>
            </w:r>
            <w:r>
              <w:rPr>
                <w:rFonts w:hint="eastAsia" w:cs="Times New Roman"/>
                <w:color w:val="000000" w:themeColor="text1"/>
                <w:sz w:val="24"/>
                <w:highlight w:val="none"/>
                <w:lang w:val="en-US" w:eastAsia="zh-CN"/>
                <w14:textFill>
                  <w14:solidFill>
                    <w14:schemeClr w14:val="tx1"/>
                  </w14:solidFill>
                </w14:textFill>
              </w:rPr>
              <w:t>8</w:t>
            </w:r>
            <w:r>
              <w:rPr>
                <w:rFonts w:cs="Times New Roman"/>
                <w:color w:val="000000" w:themeColor="text1"/>
                <w:sz w:val="24"/>
                <w:highlight w:val="none"/>
                <w14:textFill>
                  <w14:solidFill>
                    <w14:schemeClr w14:val="tx1"/>
                  </w14:solidFill>
                </w14:textFill>
              </w:rPr>
              <w:t>日-</w:t>
            </w:r>
            <w:r>
              <w:rPr>
                <w:rFonts w:hint="eastAsia" w:cs="Times New Roman"/>
                <w:color w:val="000000" w:themeColor="text1"/>
                <w:sz w:val="24"/>
                <w:highlight w:val="none"/>
                <w:lang w:val="en-US" w:eastAsia="zh-CN"/>
                <w14:textFill>
                  <w14:solidFill>
                    <w14:schemeClr w14:val="tx1"/>
                  </w14:solidFill>
                </w14:textFill>
              </w:rPr>
              <w:t>9</w:t>
            </w:r>
            <w:r>
              <w:rPr>
                <w:rFonts w:cs="Times New Roman"/>
                <w:color w:val="000000" w:themeColor="text1"/>
                <w:sz w:val="24"/>
                <w:highlight w:val="none"/>
                <w14:textFill>
                  <w14:solidFill>
                    <w14:schemeClr w14:val="tx1"/>
                  </w14:solidFill>
                </w14:textFill>
              </w:rPr>
              <w:t>日进行现场采样监测，在此基础上于202</w:t>
            </w:r>
            <w:r>
              <w:rPr>
                <w:rFonts w:hint="eastAsia" w:cs="Times New Roman"/>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年</w:t>
            </w:r>
            <w:r>
              <w:rPr>
                <w:rFonts w:hint="eastAsia" w:cs="Times New Roman"/>
                <w:color w:val="000000" w:themeColor="text1"/>
                <w:sz w:val="24"/>
                <w:highlight w:val="none"/>
                <w:lang w:val="en-US" w:eastAsia="zh-CN"/>
                <w14:textFill>
                  <w14:solidFill>
                    <w14:schemeClr w14:val="tx1"/>
                  </w14:solidFill>
                </w14:textFill>
              </w:rPr>
              <w:t>3</w:t>
            </w:r>
            <w:r>
              <w:rPr>
                <w:rFonts w:cs="Times New Roman"/>
                <w:color w:val="000000" w:themeColor="text1"/>
                <w:sz w:val="24"/>
                <w:highlight w:val="none"/>
                <w14:textFill>
                  <w14:solidFill>
                    <w14:schemeClr w14:val="tx1"/>
                  </w14:solidFill>
                </w14:textFill>
              </w:rPr>
              <w:t>月</w:t>
            </w:r>
            <w:r>
              <w:rPr>
                <w:rFonts w:hint="eastAsia" w:cs="Times New Roman"/>
                <w:color w:val="000000" w:themeColor="text1"/>
                <w:sz w:val="24"/>
                <w:highlight w:val="none"/>
                <w:lang w:val="en-US" w:eastAsia="zh-CN"/>
                <w14:textFill>
                  <w14:solidFill>
                    <w14:schemeClr w14:val="tx1"/>
                  </w14:solidFill>
                </w14:textFill>
              </w:rPr>
              <w:t>25</w:t>
            </w:r>
            <w:r>
              <w:rPr>
                <w:rFonts w:cs="Times New Roman"/>
                <w:color w:val="000000" w:themeColor="text1"/>
                <w:sz w:val="24"/>
                <w:highlight w:val="none"/>
                <w14:textFill>
                  <w14:solidFill>
                    <w14:schemeClr w14:val="tx1"/>
                  </w14:solidFill>
                </w14:textFill>
              </w:rPr>
              <w:t>号完成验收监测报告。</w:t>
            </w:r>
          </w:p>
          <w:p>
            <w:pPr>
              <w:spacing w:line="480" w:lineRule="atLeast"/>
              <w:ind w:firstLine="480" w:firstLineChars="200"/>
              <w:rPr>
                <w:rFonts w:hint="default" w:ascii="Times New Roman" w:hAnsi="Times New Roman" w:cs="Times New Roman"/>
                <w:bCs/>
                <w:color w:val="000000" w:themeColor="text1"/>
                <w:sz w:val="24"/>
                <w14:textFill>
                  <w14:solidFill>
                    <w14:schemeClr w14:val="tx1"/>
                  </w14:solidFill>
                </w14:textFill>
              </w:rPr>
            </w:pPr>
          </w:p>
          <w:p>
            <w:pPr>
              <w:spacing w:line="480" w:lineRule="atLeast"/>
              <w:ind w:firstLine="480" w:firstLineChars="200"/>
              <w:rPr>
                <w:rFonts w:hint="default" w:ascii="Times New Roman" w:hAnsi="Times New Roman" w:cs="Times New Roman"/>
                <w:bCs/>
                <w:color w:val="000000" w:themeColor="text1"/>
                <w:sz w:val="24"/>
                <w14:textFill>
                  <w14:solidFill>
                    <w14:schemeClr w14:val="tx1"/>
                  </w14:solidFill>
                </w14:textFill>
              </w:rPr>
            </w:pPr>
          </w:p>
          <w:p>
            <w:pPr>
              <w:spacing w:line="480" w:lineRule="atLeast"/>
              <w:ind w:firstLine="480" w:firstLineChars="200"/>
              <w:rPr>
                <w:rFonts w:hint="default" w:ascii="Times New Roman" w:hAnsi="Times New Roman" w:cs="Times New Roman"/>
                <w:bCs/>
                <w:color w:val="000000" w:themeColor="text1"/>
                <w:kern w:val="0"/>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（3）验收条件满足性分析</w:t>
            </w:r>
          </w:p>
          <w:p>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表2.1 项目满足验收条件情况一览表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33"/>
              <w:gridCol w:w="3706"/>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关于发布《建设项目竣工环境保护验收暂行办法》的公告（国环规环评〔2017〕4号）中不得提出验收合格意见的情形</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本项目实际相关情形</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（1）未按环境影响报告书（表）及其审批部门审批决定要求建成环境保护设施，或者环境保护设施不能与主体工程同时投产或者使用的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已办理环评手续并取得</w:t>
                  </w:r>
                  <w:r>
                    <w:rPr>
                      <w:rFonts w:hint="eastAsia" w:ascii="Times New Roman" w:hAnsi="Times New Roman" w:cs="Times New Roman"/>
                      <w:color w:val="000000" w:themeColor="text1"/>
                      <w:sz w:val="21"/>
                      <w:szCs w:val="21"/>
                      <w:lang w:eastAsia="zh-CN"/>
                      <w14:textFill>
                        <w14:solidFill>
                          <w14:schemeClr w14:val="tx1"/>
                        </w14:solidFill>
                      </w14:textFill>
                    </w:rPr>
                    <w:t>六安市舒城县</w:t>
                  </w:r>
                  <w:r>
                    <w:rPr>
                      <w:rFonts w:hint="default" w:ascii="Times New Roman" w:hAnsi="Times New Roman" w:cs="Times New Roman"/>
                      <w:color w:val="000000" w:themeColor="text1"/>
                      <w:sz w:val="21"/>
                      <w:szCs w:val="21"/>
                      <w14:textFill>
                        <w14:solidFill>
                          <w14:schemeClr w14:val="tx1"/>
                        </w14:solidFill>
                      </w14:textFill>
                    </w:rPr>
                    <w:t>生态环境分局关于项目环境影响报告表的批复（</w:t>
                  </w:r>
                  <w:r>
                    <w:rPr>
                      <w:rFonts w:hint="eastAsia" w:ascii="Times New Roman" w:hAnsi="Times New Roman" w:cs="Times New Roman"/>
                      <w:color w:val="000000" w:themeColor="text1"/>
                      <w:sz w:val="21"/>
                      <w:szCs w:val="21"/>
                      <w:lang w:eastAsia="zh-CN"/>
                      <w14:textFill>
                        <w14:solidFill>
                          <w14:schemeClr w14:val="tx1"/>
                        </w14:solidFill>
                      </w14:textFill>
                    </w:rPr>
                    <w:t>舒环评</w:t>
                  </w:r>
                  <w:r>
                    <w:rPr>
                      <w:rFonts w:hint="default" w:ascii="Times New Roman" w:hAnsi="Times New Roman" w:cs="Times New Roman"/>
                      <w:color w:val="000000" w:themeColor="text1"/>
                      <w:sz w:val="21"/>
                      <w:szCs w:val="21"/>
                      <w14:textFill>
                        <w14:solidFill>
                          <w14:schemeClr w14:val="tx1"/>
                        </w14:solidFill>
                      </w14:textFill>
                    </w:rPr>
                    <w:t>[202</w:t>
                  </w: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51</w:t>
                  </w:r>
                  <w:r>
                    <w:rPr>
                      <w:rFonts w:hint="default" w:ascii="Times New Roman" w:hAnsi="Times New Roman" w:cs="Times New Roman"/>
                      <w:color w:val="000000" w:themeColor="text1"/>
                      <w:sz w:val="21"/>
                      <w:szCs w:val="21"/>
                      <w14:textFill>
                        <w14:solidFill>
                          <w14:schemeClr w14:val="tx1"/>
                        </w14:solidFill>
                      </w14:textFill>
                    </w:rPr>
                    <w:t>号），相关环保设施做到了与主体工程同时投产或使用</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（2）污染物排放不符合国家和地方相关标准、环境影响报告书（表）及其审批部门审批决定或者重点污染物排放总量控制指标要求的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污染排放满足相关标准和总量控制指标要求</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根据《关于印发&lt;污染影响类建设项目重大变动清单（试行）&gt;的通知》（环办环评函〔2020〕688号），项目不涉及重大变动</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（4）建设过程中造成重大环境污染未治理完成，或者造成重大生态破坏未恢复的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不涉及</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（5）纳入排污许可管理的建设项目，无证排污或者不按证排污的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根据《固定污染源排污许可分类名录》（2019年版），项目属于</w:t>
                  </w:r>
                  <w:r>
                    <w:rPr>
                      <w:rFonts w:hint="eastAsia" w:ascii="Times New Roman" w:hAnsi="Times New Roman" w:cs="Times New Roman"/>
                      <w:color w:val="000000" w:themeColor="text1"/>
                      <w:sz w:val="21"/>
                      <w:szCs w:val="21"/>
                      <w:lang w:eastAsia="zh-CN"/>
                      <w14:textFill>
                        <w14:solidFill>
                          <w14:schemeClr w14:val="tx1"/>
                        </w14:solidFill>
                      </w14:textFill>
                    </w:rPr>
                    <w:t>登记</w:t>
                  </w:r>
                  <w:r>
                    <w:rPr>
                      <w:rFonts w:hint="default" w:ascii="Times New Roman" w:hAnsi="Times New Roman" w:cs="Times New Roman"/>
                      <w:color w:val="000000" w:themeColor="text1"/>
                      <w:sz w:val="21"/>
                      <w:szCs w:val="21"/>
                      <w14:textFill>
                        <w14:solidFill>
                          <w14:schemeClr w14:val="tx1"/>
                        </w14:solidFill>
                      </w14:textFill>
                    </w:rPr>
                    <w:t>管理，已在全国排污许可证管理信息平台填报排污信息</w:t>
                  </w:r>
                  <w:r>
                    <w:rPr>
                      <w:rFonts w:hint="eastAsia" w:ascii="Times New Roman" w:hAnsi="Times New Roman" w:cs="Times New Roman"/>
                      <w:color w:val="000000" w:themeColor="text1"/>
                      <w:sz w:val="21"/>
                      <w:szCs w:val="21"/>
                      <w:lang w:eastAsia="zh-CN"/>
                      <w14:textFill>
                        <w14:solidFill>
                          <w14:schemeClr w14:val="tx1"/>
                        </w14:solidFill>
                      </w14:textFill>
                    </w:rPr>
                    <w:t>，编号为：91341523MA8LJ7LY5Y001X</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（6）分期建设、分期投入生产或者使用依法应当分期验收的建设项目，其分期建设、分期投入生产或者使用的环境保护设施防治环境污染和生态破坏的能力不能满足其相应主体工程需要的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不涉及</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auto"/>
                      <w:sz w:val="21"/>
                      <w:szCs w:val="21"/>
                    </w:rPr>
                    <w:t>（7）建设单位因该建设项目违反国家和地方环境保护法律法规受到处罚，被责令改正，尚未改正完成的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auto"/>
                      <w:sz w:val="21"/>
                      <w:szCs w:val="21"/>
                    </w:rPr>
                    <w:t>不涉及</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auto"/>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（8）验收报告的基础资料数据明显不实，内容存在重大缺项、遗漏，或者验收结论不明确、不合理的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验收报告基础资料、监测数据真实，无重大缺项、遗漏，结论明确</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（9）其他环境保护法律法规规章等规定不得通过环境保护验收的</w:t>
                  </w:r>
                </w:p>
              </w:tc>
              <w:tc>
                <w:tcPr>
                  <w:tcW w:w="3730"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不涉及</w:t>
                  </w:r>
                </w:p>
              </w:tc>
              <w:tc>
                <w:tcPr>
                  <w:tcW w:w="1187" w:type="dxa"/>
                  <w:vAlign w:val="center"/>
                </w:tcPr>
                <w:p>
                  <w:pPr>
                    <w:pStyle w:val="38"/>
                    <w:spacing w:line="240" w:lineRule="auto"/>
                    <w:ind w:firstLine="0" w:firstLineChars="0"/>
                    <w:jc w:val="center"/>
                    <w:rPr>
                      <w:rFonts w:cs="Times New Roman"/>
                      <w:b/>
                      <w:color w:val="000000" w:themeColor="text1"/>
                      <w:sz w:val="24"/>
                      <w:vertAlign w:val="baseli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bl>
          <w:p>
            <w:pPr>
              <w:widowControl/>
              <w:spacing w:line="360" w:lineRule="auto"/>
              <w:ind w:firstLine="482" w:firstLineChars="200"/>
              <w:rPr>
                <w:rFonts w:cs="Times New Roman"/>
                <w:b/>
                <w:color w:val="000000" w:themeColor="text1"/>
                <w:sz w:val="24"/>
                <w14:textFill>
                  <w14:solidFill>
                    <w14:schemeClr w14:val="tx1"/>
                  </w14:solidFill>
                </w14:textFill>
              </w:rPr>
            </w:pPr>
            <w:r>
              <w:rPr>
                <w:rFonts w:cs="Times New Roman"/>
                <w:b/>
                <w:color w:val="000000" w:themeColor="text1"/>
                <w:sz w:val="24"/>
                <w14:textFill>
                  <w14:solidFill>
                    <w14:schemeClr w14:val="tx1"/>
                  </w14:solidFill>
                </w14:textFill>
              </w:rPr>
              <w:t>2、工程建设内容</w:t>
            </w:r>
          </w:p>
          <w:p>
            <w:pPr>
              <w:widowControl/>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（1）环评申报内容概况</w:t>
            </w:r>
          </w:p>
          <w:p>
            <w:pPr>
              <w:spacing w:line="360" w:lineRule="auto"/>
              <w:ind w:firstLine="480" w:firstLineChars="200"/>
              <w:rPr>
                <w:rFonts w:hint="eastAsia" w:cs="Times New Roman"/>
                <w:color w:val="000000" w:themeColor="text1"/>
                <w:sz w:val="24"/>
                <w:lang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安徽泉生楼梯有限公司实木楼梯家具加工项目位于舒城县棠树乡凌西路，项目总投资500万元，租赁舒城友源电子科技有限公司院内1幢厂房，建筑面积1500平方米。主要生产工艺为：将板材通过下料、刨料、打孔、立铣、仿型、拼装、打磨、贴皮、砂光、喷底漆、自然晾干、喷漆件打磨、喷面漆、烘干、组装、检验入库等工序加工，可实现年加工实木楼梯200套、实木护栏150套、配套家具80套的生产能力。</w:t>
            </w:r>
          </w:p>
          <w:p>
            <w:pPr>
              <w:spacing w:line="360" w:lineRule="auto"/>
              <w:ind w:firstLine="480" w:firstLineChars="200"/>
              <w:rPr>
                <w:rFonts w:cs="Times New Roman"/>
                <w:color w:val="000000" w:themeColor="text1"/>
                <w:sz w:val="24"/>
                <w14:textFill>
                  <w14:solidFill>
                    <w14:schemeClr w14:val="tx1"/>
                  </w14:solidFill>
                </w14:textFill>
              </w:rPr>
            </w:pPr>
            <w:r>
              <w:rPr>
                <w:rFonts w:hint="eastAsia" w:cs="Times New Roman"/>
                <w:color w:val="000000" w:themeColor="text1"/>
                <w:sz w:val="24"/>
                <w:lang w:eastAsia="zh-CN"/>
                <w14:textFill>
                  <w14:solidFill>
                    <w14:schemeClr w14:val="tx1"/>
                  </w14:solidFill>
                </w14:textFill>
              </w:rPr>
              <w:t>项目设置</w:t>
            </w:r>
            <w:r>
              <w:rPr>
                <w:rFonts w:cs="Times New Roman"/>
                <w:color w:val="000000" w:themeColor="text1"/>
                <w:sz w:val="24"/>
                <w14:textFill>
                  <w14:solidFill>
                    <w14:schemeClr w14:val="tx1"/>
                  </w14:solidFill>
                </w14:textFill>
              </w:rPr>
              <w:t>劳动定员</w:t>
            </w:r>
            <w:r>
              <w:rPr>
                <w:rFonts w:hint="eastAsia" w:cs="Times New Roman"/>
                <w:color w:val="000000" w:themeColor="text1"/>
                <w:sz w:val="24"/>
                <w:lang w:val="en-US" w:eastAsia="zh-CN"/>
                <w14:textFill>
                  <w14:solidFill>
                    <w14:schemeClr w14:val="tx1"/>
                  </w14:solidFill>
                </w14:textFill>
              </w:rPr>
              <w:t>10</w:t>
            </w:r>
            <w:r>
              <w:rPr>
                <w:rFonts w:cs="Times New Roman"/>
                <w:color w:val="000000" w:themeColor="text1"/>
                <w:sz w:val="24"/>
                <w14:textFill>
                  <w14:solidFill>
                    <w14:schemeClr w14:val="tx1"/>
                  </w14:solidFill>
                </w14:textFill>
              </w:rPr>
              <w:t>名，</w:t>
            </w:r>
            <w:r>
              <w:rPr>
                <w:rFonts w:hint="eastAsia" w:cs="Times New Roman"/>
                <w:color w:val="000000" w:themeColor="text1"/>
                <w:sz w:val="24"/>
                <w:lang w:eastAsia="zh-CN"/>
                <w14:textFill>
                  <w14:solidFill>
                    <w14:schemeClr w14:val="tx1"/>
                  </w14:solidFill>
                </w14:textFill>
              </w:rPr>
              <w:t>单班制生产</w:t>
            </w:r>
            <w:r>
              <w:rPr>
                <w:rFonts w:cs="Times New Roman"/>
                <w:color w:val="000000" w:themeColor="text1"/>
                <w:sz w:val="24"/>
                <w14:textFill>
                  <w14:solidFill>
                    <w14:schemeClr w14:val="tx1"/>
                  </w14:solidFill>
                </w14:textFill>
              </w:rPr>
              <w:t>，每班工作8</w:t>
            </w:r>
            <w:r>
              <w:rPr>
                <w:rFonts w:hint="eastAsia" w:cs="Times New Roman"/>
                <w:color w:val="000000" w:themeColor="text1"/>
                <w:sz w:val="24"/>
                <w:lang w:eastAsia="zh-CN"/>
                <w14:textFill>
                  <w14:solidFill>
                    <w14:schemeClr w14:val="tx1"/>
                  </w14:solidFill>
                </w14:textFill>
              </w:rPr>
              <w:t>小时，</w:t>
            </w:r>
            <w:r>
              <w:rPr>
                <w:rFonts w:cs="Times New Roman"/>
                <w:color w:val="000000" w:themeColor="text1"/>
                <w:sz w:val="24"/>
                <w14:textFill>
                  <w14:solidFill>
                    <w14:schemeClr w14:val="tx1"/>
                  </w14:solidFill>
                </w14:textFill>
              </w:rPr>
              <w:t>年工作</w:t>
            </w:r>
            <w:r>
              <w:rPr>
                <w:rFonts w:hint="eastAsia" w:cs="Times New Roman"/>
                <w:color w:val="000000" w:themeColor="text1"/>
                <w:sz w:val="24"/>
                <w:lang w:val="en-US" w:eastAsia="zh-CN"/>
                <w14:textFill>
                  <w14:solidFill>
                    <w14:schemeClr w14:val="tx1"/>
                  </w14:solidFill>
                </w14:textFill>
              </w:rPr>
              <w:t>300</w:t>
            </w:r>
            <w:r>
              <w:rPr>
                <w:rFonts w:cs="Times New Roman"/>
                <w:color w:val="000000" w:themeColor="text1"/>
                <w:sz w:val="24"/>
                <w14:textFill>
                  <w14:solidFill>
                    <w14:schemeClr w14:val="tx1"/>
                  </w14:solidFill>
                </w14:textFill>
              </w:rPr>
              <w:t>天。</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（2）项目实际建设内容概况</w:t>
            </w:r>
          </w:p>
          <w:p>
            <w:pPr>
              <w:spacing w:line="360" w:lineRule="auto"/>
              <w:ind w:firstLine="480" w:firstLineChars="200"/>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项目地点不变，厂房已按照环评申报内容建设，主要生产工艺为：将板材通过下料、刨料、打孔、立铣、仿型、拼装、打磨、贴皮、砂光、喷底漆、自然晾干、喷漆件打磨、喷面漆、烘干、组装、检验入库等工序加工，可实现年加工实木楼梯200套、实木护栏150套、配套家具80套的生产能力。</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实际劳动定员</w:t>
            </w:r>
            <w:r>
              <w:rPr>
                <w:rFonts w:hint="eastAsia" w:cs="Times New Roman"/>
                <w:color w:val="000000" w:themeColor="text1"/>
                <w:sz w:val="24"/>
                <w:lang w:val="en-US" w:eastAsia="zh-CN"/>
                <w14:textFill>
                  <w14:solidFill>
                    <w14:schemeClr w14:val="tx1"/>
                  </w14:solidFill>
                </w14:textFill>
              </w:rPr>
              <w:t>10</w:t>
            </w:r>
            <w:r>
              <w:rPr>
                <w:rFonts w:cs="Times New Roman"/>
                <w:color w:val="000000" w:themeColor="text1"/>
                <w:sz w:val="24"/>
                <w14:textFill>
                  <w14:solidFill>
                    <w14:schemeClr w14:val="tx1"/>
                  </w14:solidFill>
                </w14:textFill>
              </w:rPr>
              <w:t>人</w:t>
            </w:r>
            <w:r>
              <w:rPr>
                <w:rFonts w:hint="eastAsia" w:cs="Times New Roman"/>
                <w:color w:val="000000" w:themeColor="text1"/>
                <w:sz w:val="24"/>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单班制生产</w:t>
            </w:r>
            <w:r>
              <w:rPr>
                <w:rFonts w:cs="Times New Roman"/>
                <w:color w:val="000000" w:themeColor="text1"/>
                <w:sz w:val="24"/>
                <w14:textFill>
                  <w14:solidFill>
                    <w14:schemeClr w14:val="tx1"/>
                  </w14:solidFill>
                </w14:textFill>
              </w:rPr>
              <w:t>，每班工作8小时，年工作</w:t>
            </w:r>
            <w:r>
              <w:rPr>
                <w:rFonts w:hint="eastAsia" w:cs="Times New Roman"/>
                <w:color w:val="000000" w:themeColor="text1"/>
                <w:sz w:val="24"/>
                <w:lang w:val="en-US" w:eastAsia="zh-CN"/>
                <w14:textFill>
                  <w14:solidFill>
                    <w14:schemeClr w14:val="tx1"/>
                  </w14:solidFill>
                </w14:textFill>
              </w:rPr>
              <w:t>300</w:t>
            </w:r>
            <w:r>
              <w:rPr>
                <w:rFonts w:cs="Times New Roman"/>
                <w:color w:val="000000" w:themeColor="text1"/>
                <w:sz w:val="24"/>
                <w14:textFill>
                  <w14:solidFill>
                    <w14:schemeClr w14:val="tx1"/>
                  </w14:solidFill>
                </w14:textFill>
              </w:rPr>
              <w:t>天。</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项目环评申报内容与验收期间实际建设内容对照情况如下：</w:t>
            </w:r>
          </w:p>
          <w:p>
            <w:pPr>
              <w:spacing w:line="360" w:lineRule="auto"/>
              <w:ind w:firstLine="480" w:firstLineChars="200"/>
              <w:jc w:val="center"/>
              <w:rPr>
                <w:rFonts w:cs="Times New Roman"/>
                <w:b/>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 xml:space="preserve"> </w:t>
            </w:r>
            <w:r>
              <w:rPr>
                <w:rFonts w:cs="Times New Roman"/>
                <w:b/>
                <w:color w:val="000000" w:themeColor="text1"/>
                <w:sz w:val="24"/>
                <w14:textFill>
                  <w14:solidFill>
                    <w14:schemeClr w14:val="tx1"/>
                  </w14:solidFill>
                </w14:textFill>
              </w:rPr>
              <w:t>表2.</w:t>
            </w:r>
            <w:r>
              <w:rPr>
                <w:rFonts w:hint="eastAsia" w:cs="Times New Roman"/>
                <w:b/>
                <w:color w:val="000000" w:themeColor="text1"/>
                <w:sz w:val="24"/>
                <w:lang w:val="en-US" w:eastAsia="zh-CN"/>
                <w14:textFill>
                  <w14:solidFill>
                    <w14:schemeClr w14:val="tx1"/>
                  </w14:solidFill>
                </w14:textFill>
              </w:rPr>
              <w:t>2</w:t>
            </w:r>
            <w:r>
              <w:rPr>
                <w:rFonts w:cs="Times New Roman"/>
                <w:b/>
                <w:color w:val="000000" w:themeColor="text1"/>
                <w:sz w:val="24"/>
                <w14:textFill>
                  <w14:solidFill>
                    <w14:schemeClr w14:val="tx1"/>
                  </w14:solidFill>
                </w14:textFill>
              </w:rPr>
              <w:t xml:space="preserve">  环评申报工程内容与实际建成工程内容对照表</w:t>
            </w:r>
          </w:p>
          <w:tbl>
            <w:tblPr>
              <w:tblStyle w:val="2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188"/>
              <w:gridCol w:w="4973"/>
              <w:gridCol w:w="2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234" w:type="pct"/>
                  <w:noWrap w:val="0"/>
                  <w:vAlign w:val="center"/>
                </w:tcPr>
                <w:p>
                  <w:pPr>
                    <w:jc w:val="center"/>
                    <w:rPr>
                      <w:bCs/>
                      <w:color w:val="000000"/>
                      <w:szCs w:val="21"/>
                    </w:rPr>
                  </w:pPr>
                  <w:r>
                    <w:rPr>
                      <w:rFonts w:hAnsi="宋体"/>
                      <w:bCs/>
                      <w:color w:val="000000"/>
                      <w:szCs w:val="21"/>
                    </w:rPr>
                    <w:t>序号</w:t>
                  </w:r>
                </w:p>
              </w:tc>
              <w:tc>
                <w:tcPr>
                  <w:tcW w:w="653" w:type="pct"/>
                  <w:noWrap w:val="0"/>
                  <w:vAlign w:val="center"/>
                </w:tcPr>
                <w:p>
                  <w:pPr>
                    <w:jc w:val="center"/>
                    <w:rPr>
                      <w:bCs/>
                      <w:color w:val="000000"/>
                      <w:szCs w:val="21"/>
                    </w:rPr>
                  </w:pPr>
                  <w:r>
                    <w:rPr>
                      <w:rFonts w:hAnsi="宋体"/>
                      <w:bCs/>
                      <w:color w:val="000000"/>
                      <w:szCs w:val="21"/>
                    </w:rPr>
                    <w:t>单项工程名称</w:t>
                  </w:r>
                </w:p>
              </w:tc>
              <w:tc>
                <w:tcPr>
                  <w:tcW w:w="2731" w:type="pct"/>
                  <w:noWrap w:val="0"/>
                  <w:vAlign w:val="center"/>
                </w:tcPr>
                <w:p>
                  <w:pPr>
                    <w:jc w:val="center"/>
                    <w:rPr>
                      <w:rFonts w:hint="eastAsia"/>
                      <w:bCs/>
                      <w:color w:val="000000"/>
                      <w:szCs w:val="21"/>
                    </w:rPr>
                  </w:pPr>
                  <w:r>
                    <w:rPr>
                      <w:rFonts w:hint="eastAsia" w:hAnsi="宋体"/>
                      <w:bCs/>
                      <w:color w:val="000000"/>
                      <w:szCs w:val="21"/>
                      <w:lang w:eastAsia="zh-CN"/>
                    </w:rPr>
                    <w:t>环评申报</w:t>
                  </w:r>
                  <w:r>
                    <w:rPr>
                      <w:rFonts w:hAnsi="宋体"/>
                      <w:bCs/>
                      <w:color w:val="000000"/>
                      <w:szCs w:val="21"/>
                    </w:rPr>
                    <w:t>工程内容</w:t>
                  </w:r>
                  <w:r>
                    <w:rPr>
                      <w:rFonts w:hint="eastAsia" w:hAnsi="宋体"/>
                      <w:bCs/>
                      <w:color w:val="000000"/>
                      <w:szCs w:val="21"/>
                    </w:rPr>
                    <w:t>及</w:t>
                  </w:r>
                  <w:r>
                    <w:rPr>
                      <w:rFonts w:hAnsi="宋体"/>
                      <w:bCs/>
                      <w:color w:val="000000"/>
                      <w:szCs w:val="21"/>
                    </w:rPr>
                    <w:t>工程规模</w:t>
                  </w:r>
                </w:p>
              </w:tc>
              <w:tc>
                <w:tcPr>
                  <w:tcW w:w="1381" w:type="pct"/>
                  <w:noWrap w:val="0"/>
                  <w:vAlign w:val="center"/>
                </w:tcPr>
                <w:p>
                  <w:pPr>
                    <w:jc w:val="center"/>
                    <w:rPr>
                      <w:rFonts w:hint="eastAsia" w:hAnsi="宋体" w:eastAsiaTheme="minorEastAsia"/>
                      <w:bCs/>
                      <w:color w:val="000000"/>
                      <w:szCs w:val="21"/>
                      <w:lang w:eastAsia="zh-CN"/>
                    </w:rPr>
                  </w:pPr>
                  <w:r>
                    <w:rPr>
                      <w:rFonts w:hint="eastAsia" w:hAnsi="宋体"/>
                      <w:bCs/>
                      <w:color w:val="000000"/>
                      <w:szCs w:val="21"/>
                      <w:lang w:eastAsia="zh-CN"/>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 w:hRule="atLeast"/>
              </w:trPr>
              <w:tc>
                <w:tcPr>
                  <w:tcW w:w="234" w:type="pct"/>
                  <w:vMerge w:val="restart"/>
                  <w:noWrap w:val="0"/>
                  <w:vAlign w:val="center"/>
                </w:tcPr>
                <w:p>
                  <w:pPr>
                    <w:jc w:val="center"/>
                    <w:rPr>
                      <w:bCs/>
                      <w:color w:val="000000"/>
                      <w:szCs w:val="21"/>
                    </w:rPr>
                  </w:pPr>
                  <w:r>
                    <w:rPr>
                      <w:rFonts w:hAnsi="宋体"/>
                      <w:bCs/>
                      <w:color w:val="000000"/>
                      <w:szCs w:val="21"/>
                    </w:rPr>
                    <w:t>主体工程</w:t>
                  </w:r>
                </w:p>
              </w:tc>
              <w:tc>
                <w:tcPr>
                  <w:tcW w:w="653" w:type="pct"/>
                  <w:noWrap w:val="0"/>
                  <w:vAlign w:val="center"/>
                </w:tcPr>
                <w:p>
                  <w:pPr>
                    <w:tabs>
                      <w:tab w:val="left" w:pos="3255"/>
                    </w:tabs>
                    <w:jc w:val="center"/>
                    <w:rPr>
                      <w:rFonts w:hint="eastAsia"/>
                      <w:bCs/>
                      <w:color w:val="000000"/>
                      <w:szCs w:val="21"/>
                    </w:rPr>
                  </w:pPr>
                  <w:r>
                    <w:rPr>
                      <w:rFonts w:hint="eastAsia"/>
                      <w:color w:val="000000"/>
                    </w:rPr>
                    <w:t>木工生产单元</w:t>
                  </w:r>
                </w:p>
              </w:tc>
              <w:tc>
                <w:tcPr>
                  <w:tcW w:w="2731" w:type="pct"/>
                  <w:noWrap w:val="0"/>
                  <w:vAlign w:val="center"/>
                </w:tcPr>
                <w:p>
                  <w:pPr>
                    <w:jc w:val="center"/>
                    <w:rPr>
                      <w:color w:val="000000"/>
                    </w:rPr>
                  </w:pPr>
                  <w:r>
                    <w:rPr>
                      <w:rFonts w:hint="eastAsia"/>
                      <w:color w:val="000000"/>
                    </w:rPr>
                    <w:t>位于项目租赁的生产厂房1F，建筑面积750</w:t>
                  </w:r>
                  <w:r>
                    <w:rPr>
                      <w:color w:val="000000"/>
                    </w:rPr>
                    <w:t>m</w:t>
                  </w:r>
                  <w:r>
                    <w:rPr>
                      <w:color w:val="000000"/>
                      <w:vertAlign w:val="superscript"/>
                    </w:rPr>
                    <w:t>2</w:t>
                  </w:r>
                  <w:r>
                    <w:rPr>
                      <w:rFonts w:hint="eastAsia"/>
                      <w:color w:val="000000"/>
                    </w:rPr>
                    <w:t>，主要进行下料、刨料、拼料、仿形等机加工作业，内置压板机、推台锯、单片锯、砂光机、数控车床、双面刨等生产设备，年加工木料16000m</w:t>
                  </w:r>
                  <w:r>
                    <w:rPr>
                      <w:rFonts w:hint="eastAsia"/>
                      <w:color w:val="000000"/>
                      <w:vertAlign w:val="superscript"/>
                    </w:rPr>
                    <w:t>2</w:t>
                  </w:r>
                </w:p>
              </w:tc>
              <w:tc>
                <w:tcPr>
                  <w:tcW w:w="1381" w:type="pct"/>
                  <w:noWrap w:val="0"/>
                  <w:vAlign w:val="center"/>
                </w:tcPr>
                <w:p>
                  <w:pPr>
                    <w:jc w:val="center"/>
                    <w:rPr>
                      <w:rFonts w:hint="eastAsia" w:eastAsiaTheme="minorEastAsia"/>
                      <w:color w:val="000000"/>
                      <w:lang w:eastAsia="zh-CN"/>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 w:hRule="atLeast"/>
              </w:trPr>
              <w:tc>
                <w:tcPr>
                  <w:tcW w:w="234" w:type="pct"/>
                  <w:vMerge w:val="continue"/>
                  <w:noWrap w:val="0"/>
                  <w:vAlign w:val="center"/>
                </w:tcPr>
                <w:p>
                  <w:pPr>
                    <w:jc w:val="center"/>
                    <w:rPr>
                      <w:color w:val="000000"/>
                    </w:rPr>
                  </w:pPr>
                </w:p>
              </w:tc>
              <w:tc>
                <w:tcPr>
                  <w:tcW w:w="653" w:type="pct"/>
                  <w:noWrap w:val="0"/>
                  <w:vAlign w:val="center"/>
                </w:tcPr>
                <w:p>
                  <w:pPr>
                    <w:tabs>
                      <w:tab w:val="left" w:pos="3255"/>
                    </w:tabs>
                    <w:jc w:val="center"/>
                    <w:rPr>
                      <w:rFonts w:hint="eastAsia"/>
                      <w:color w:val="000000"/>
                    </w:rPr>
                  </w:pPr>
                  <w:r>
                    <w:rPr>
                      <w:rFonts w:hint="eastAsia"/>
                      <w:color w:val="000000"/>
                    </w:rPr>
                    <w:t>表面喷涂单元</w:t>
                  </w:r>
                </w:p>
              </w:tc>
              <w:tc>
                <w:tcPr>
                  <w:tcW w:w="2731" w:type="pct"/>
                  <w:noWrap w:val="0"/>
                  <w:vAlign w:val="center"/>
                </w:tcPr>
                <w:p>
                  <w:pPr>
                    <w:jc w:val="center"/>
                    <w:rPr>
                      <w:color w:val="000000"/>
                    </w:rPr>
                  </w:pPr>
                  <w:r>
                    <w:rPr>
                      <w:rFonts w:hint="eastAsia"/>
                      <w:color w:val="000000"/>
                    </w:rPr>
                    <w:t>位于项目租赁的生产厂房2F，建筑面积750</w:t>
                  </w:r>
                  <w:r>
                    <w:rPr>
                      <w:color w:val="000000"/>
                    </w:rPr>
                    <w:t>m</w:t>
                  </w:r>
                  <w:r>
                    <w:rPr>
                      <w:color w:val="000000"/>
                      <w:vertAlign w:val="superscript"/>
                    </w:rPr>
                    <w:t>2</w:t>
                  </w:r>
                  <w:r>
                    <w:rPr>
                      <w:rFonts w:hint="eastAsia"/>
                      <w:color w:val="000000"/>
                    </w:rPr>
                    <w:t>，主要进行喷涂等作业，内含打磨房、底漆房、晾干房、面漆房、烤漆房等，年喷涂木料16000m</w:t>
                  </w:r>
                  <w:r>
                    <w:rPr>
                      <w:rFonts w:hint="eastAsia"/>
                      <w:color w:val="000000"/>
                      <w:vertAlign w:val="superscript"/>
                    </w:rPr>
                    <w:t>2</w:t>
                  </w:r>
                </w:p>
              </w:tc>
              <w:tc>
                <w:tcPr>
                  <w:tcW w:w="1381" w:type="pct"/>
                  <w:noWrap w:val="0"/>
                  <w:vAlign w:val="center"/>
                </w:tcPr>
                <w:p>
                  <w:pPr>
                    <w:jc w:val="center"/>
                    <w:rPr>
                      <w:rFonts w:hint="default" w:eastAsiaTheme="minorEastAsia"/>
                      <w:color w:val="000000"/>
                      <w:lang w:val="en-US" w:eastAsia="zh-CN"/>
                    </w:rPr>
                  </w:pPr>
                  <w:r>
                    <w:rPr>
                      <w:rFonts w:hint="eastAsia"/>
                      <w:color w:val="000000"/>
                      <w:lang w:eastAsia="zh-CN"/>
                    </w:rPr>
                    <w:t>实际建设底漆房</w:t>
                  </w:r>
                  <w:r>
                    <w:rPr>
                      <w:rFonts w:hint="eastAsia"/>
                      <w:color w:val="000000"/>
                      <w:lang w:val="en-US" w:eastAsia="zh-CN"/>
                    </w:rPr>
                    <w:t>1间，</w:t>
                  </w:r>
                  <w:r>
                    <w:rPr>
                      <w:rFonts w:hint="eastAsia"/>
                      <w:color w:val="000000"/>
                      <w:lang w:eastAsia="zh-CN"/>
                    </w:rPr>
                    <w:t>位于</w:t>
                  </w:r>
                  <w:r>
                    <w:rPr>
                      <w:rFonts w:hint="eastAsia"/>
                      <w:color w:val="000000"/>
                      <w:lang w:val="en-US" w:eastAsia="zh-CN"/>
                    </w:rPr>
                    <w:t>2F，面漆房2间，分别位于3F、4F（备用），晾干均在喷漆房内进行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rPr>
              <w:tc>
                <w:tcPr>
                  <w:tcW w:w="234" w:type="pct"/>
                  <w:noWrap w:val="0"/>
                  <w:vAlign w:val="center"/>
                </w:tcPr>
                <w:p>
                  <w:pPr>
                    <w:jc w:val="center"/>
                    <w:rPr>
                      <w:rFonts w:hint="eastAsia"/>
                      <w:bCs/>
                      <w:color w:val="000000"/>
                      <w:szCs w:val="21"/>
                    </w:rPr>
                  </w:pPr>
                  <w:r>
                    <w:rPr>
                      <w:rFonts w:hint="eastAsia"/>
                      <w:bCs/>
                      <w:color w:val="000000"/>
                      <w:szCs w:val="21"/>
                    </w:rPr>
                    <w:t>辅助工程</w:t>
                  </w:r>
                </w:p>
              </w:tc>
              <w:tc>
                <w:tcPr>
                  <w:tcW w:w="653" w:type="pct"/>
                  <w:noWrap w:val="0"/>
                  <w:vAlign w:val="center"/>
                </w:tcPr>
                <w:p>
                  <w:pPr>
                    <w:jc w:val="center"/>
                    <w:rPr>
                      <w:rFonts w:hint="eastAsia" w:hAnsi="宋体"/>
                      <w:bCs/>
                      <w:color w:val="000000"/>
                      <w:szCs w:val="21"/>
                    </w:rPr>
                  </w:pPr>
                  <w:r>
                    <w:rPr>
                      <w:bCs/>
                      <w:color w:val="000000"/>
                      <w:szCs w:val="21"/>
                    </w:rPr>
                    <w:t>办公室</w:t>
                  </w:r>
                </w:p>
              </w:tc>
              <w:tc>
                <w:tcPr>
                  <w:tcW w:w="2731" w:type="pct"/>
                  <w:noWrap w:val="0"/>
                  <w:vAlign w:val="center"/>
                </w:tcPr>
                <w:p>
                  <w:pPr>
                    <w:jc w:val="center"/>
                    <w:rPr>
                      <w:rFonts w:hAnsi="宋体"/>
                      <w:bCs/>
                      <w:color w:val="000000"/>
                      <w:szCs w:val="21"/>
                    </w:rPr>
                  </w:pPr>
                  <w:r>
                    <w:rPr>
                      <w:rFonts w:hint="eastAsia"/>
                      <w:bCs/>
                      <w:color w:val="000000"/>
                      <w:szCs w:val="21"/>
                    </w:rPr>
                    <w:t xml:space="preserve"> </w:t>
                  </w:r>
                  <w:r>
                    <w:rPr>
                      <w:bCs/>
                      <w:color w:val="000000"/>
                      <w:szCs w:val="21"/>
                    </w:rPr>
                    <w:t>位于租赁厂房1F</w:t>
                  </w:r>
                  <w:r>
                    <w:rPr>
                      <w:rFonts w:hint="eastAsia"/>
                      <w:bCs/>
                      <w:color w:val="000000"/>
                      <w:szCs w:val="21"/>
                    </w:rPr>
                    <w:t>东南</w:t>
                  </w:r>
                  <w:r>
                    <w:rPr>
                      <w:bCs/>
                      <w:color w:val="000000"/>
                      <w:szCs w:val="21"/>
                    </w:rPr>
                    <w:t>侧，建筑面积约</w:t>
                  </w:r>
                  <w:r>
                    <w:rPr>
                      <w:rFonts w:hint="eastAsia"/>
                      <w:bCs/>
                      <w:color w:val="000000"/>
                      <w:szCs w:val="21"/>
                    </w:rPr>
                    <w:t>30</w:t>
                  </w:r>
                  <w:r>
                    <w:rPr>
                      <w:rFonts w:eastAsia="新宋体"/>
                      <w:color w:val="000000"/>
                      <w:kern w:val="0"/>
                      <w:sz w:val="24"/>
                    </w:rPr>
                    <w:t>m</w:t>
                  </w:r>
                  <w:r>
                    <w:rPr>
                      <w:rFonts w:eastAsia="新宋体"/>
                      <w:color w:val="000000"/>
                      <w:kern w:val="0"/>
                      <w:sz w:val="24"/>
                      <w:vertAlign w:val="superscript"/>
                    </w:rPr>
                    <w:t>2</w:t>
                  </w:r>
                </w:p>
              </w:tc>
              <w:tc>
                <w:tcPr>
                  <w:tcW w:w="1381" w:type="pct"/>
                  <w:noWrap w:val="0"/>
                  <w:vAlign w:val="center"/>
                </w:tcPr>
                <w:p>
                  <w:pPr>
                    <w:jc w:val="center"/>
                    <w:rPr>
                      <w:rFonts w:hint="eastAsia"/>
                      <w:bCs/>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rPr>
              <w:tc>
                <w:tcPr>
                  <w:tcW w:w="234" w:type="pct"/>
                  <w:vMerge w:val="restart"/>
                  <w:noWrap w:val="0"/>
                  <w:vAlign w:val="center"/>
                </w:tcPr>
                <w:p>
                  <w:pPr>
                    <w:jc w:val="center"/>
                    <w:rPr>
                      <w:rFonts w:hint="eastAsia"/>
                      <w:bCs/>
                      <w:color w:val="000000"/>
                      <w:szCs w:val="21"/>
                    </w:rPr>
                  </w:pPr>
                  <w:r>
                    <w:rPr>
                      <w:rFonts w:hint="eastAsia"/>
                      <w:bCs/>
                      <w:color w:val="000000"/>
                      <w:szCs w:val="21"/>
                    </w:rPr>
                    <w:t>储运工程</w:t>
                  </w:r>
                </w:p>
              </w:tc>
              <w:tc>
                <w:tcPr>
                  <w:tcW w:w="653" w:type="pct"/>
                  <w:noWrap w:val="0"/>
                  <w:vAlign w:val="center"/>
                </w:tcPr>
                <w:p>
                  <w:pPr>
                    <w:jc w:val="center"/>
                    <w:rPr>
                      <w:rFonts w:hint="eastAsia"/>
                      <w:bCs/>
                      <w:color w:val="000000"/>
                      <w:szCs w:val="21"/>
                    </w:rPr>
                  </w:pPr>
                  <w:r>
                    <w:rPr>
                      <w:color w:val="000000"/>
                      <w:szCs w:val="21"/>
                    </w:rPr>
                    <w:t>原料</w:t>
                  </w:r>
                  <w:r>
                    <w:rPr>
                      <w:rFonts w:hint="eastAsia"/>
                      <w:color w:val="000000"/>
                      <w:szCs w:val="21"/>
                    </w:rPr>
                    <w:t>区</w:t>
                  </w:r>
                </w:p>
              </w:tc>
              <w:tc>
                <w:tcPr>
                  <w:tcW w:w="2731" w:type="pct"/>
                  <w:noWrap w:val="0"/>
                  <w:vAlign w:val="center"/>
                </w:tcPr>
                <w:p>
                  <w:pPr>
                    <w:jc w:val="center"/>
                    <w:rPr>
                      <w:bCs/>
                      <w:color w:val="000000"/>
                      <w:szCs w:val="21"/>
                    </w:rPr>
                  </w:pPr>
                  <w:r>
                    <w:rPr>
                      <w:bCs/>
                      <w:color w:val="000000"/>
                      <w:szCs w:val="21"/>
                    </w:rPr>
                    <w:t>位于租赁厂房1F</w:t>
                  </w:r>
                  <w:r>
                    <w:rPr>
                      <w:rFonts w:hint="eastAsia"/>
                      <w:bCs/>
                      <w:color w:val="000000"/>
                      <w:szCs w:val="21"/>
                    </w:rPr>
                    <w:t>东南</w:t>
                  </w:r>
                  <w:r>
                    <w:rPr>
                      <w:bCs/>
                      <w:color w:val="000000"/>
                      <w:szCs w:val="21"/>
                    </w:rPr>
                    <w:t>侧</w:t>
                  </w:r>
                  <w:r>
                    <w:rPr>
                      <w:rFonts w:hint="eastAsia"/>
                      <w:bCs/>
                      <w:color w:val="000000"/>
                      <w:szCs w:val="21"/>
                    </w:rPr>
                    <w:t>及西南侧</w:t>
                  </w:r>
                  <w:r>
                    <w:rPr>
                      <w:bCs/>
                      <w:color w:val="000000"/>
                      <w:szCs w:val="21"/>
                    </w:rPr>
                    <w:t>，建筑面积约</w:t>
                  </w:r>
                  <w:r>
                    <w:rPr>
                      <w:rFonts w:hint="eastAsia"/>
                      <w:bCs/>
                      <w:color w:val="000000"/>
                      <w:szCs w:val="21"/>
                    </w:rPr>
                    <w:t>150</w:t>
                  </w:r>
                  <w:r>
                    <w:rPr>
                      <w:rFonts w:eastAsia="新宋体"/>
                      <w:color w:val="000000"/>
                      <w:kern w:val="0"/>
                      <w:sz w:val="24"/>
                    </w:rPr>
                    <w:t>m</w:t>
                  </w:r>
                  <w:r>
                    <w:rPr>
                      <w:rFonts w:eastAsia="新宋体"/>
                      <w:color w:val="000000"/>
                      <w:kern w:val="0"/>
                      <w:sz w:val="24"/>
                      <w:vertAlign w:val="superscript"/>
                    </w:rPr>
                    <w:t>2</w:t>
                  </w:r>
                  <w:r>
                    <w:rPr>
                      <w:bCs/>
                      <w:color w:val="000000"/>
                      <w:szCs w:val="21"/>
                    </w:rPr>
                    <w:t>，</w:t>
                  </w:r>
                  <w:r>
                    <w:rPr>
                      <w:rFonts w:hint="eastAsia"/>
                      <w:bCs/>
                      <w:color w:val="000000"/>
                      <w:szCs w:val="21"/>
                    </w:rPr>
                    <w:t>用于原料的堆放</w:t>
                  </w:r>
                </w:p>
              </w:tc>
              <w:tc>
                <w:tcPr>
                  <w:tcW w:w="1381" w:type="pct"/>
                  <w:noWrap w:val="0"/>
                  <w:vAlign w:val="center"/>
                </w:tcPr>
                <w:p>
                  <w:pPr>
                    <w:jc w:val="center"/>
                    <w:rPr>
                      <w:bCs/>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rPr>
              <w:tc>
                <w:tcPr>
                  <w:tcW w:w="234" w:type="pct"/>
                  <w:vMerge w:val="continue"/>
                  <w:noWrap w:val="0"/>
                  <w:vAlign w:val="center"/>
                </w:tcPr>
                <w:p>
                  <w:pPr>
                    <w:jc w:val="center"/>
                    <w:rPr>
                      <w:bCs/>
                      <w:color w:val="000000"/>
                      <w:szCs w:val="21"/>
                    </w:rPr>
                  </w:pPr>
                </w:p>
              </w:tc>
              <w:tc>
                <w:tcPr>
                  <w:tcW w:w="653" w:type="pct"/>
                  <w:noWrap w:val="0"/>
                  <w:vAlign w:val="center"/>
                </w:tcPr>
                <w:p>
                  <w:pPr>
                    <w:jc w:val="center"/>
                    <w:rPr>
                      <w:rFonts w:hint="eastAsia"/>
                      <w:bCs/>
                      <w:color w:val="000000"/>
                      <w:szCs w:val="21"/>
                    </w:rPr>
                  </w:pPr>
                  <w:r>
                    <w:rPr>
                      <w:color w:val="000000"/>
                      <w:szCs w:val="21"/>
                    </w:rPr>
                    <w:t>成品</w:t>
                  </w:r>
                  <w:r>
                    <w:rPr>
                      <w:rFonts w:hint="eastAsia"/>
                      <w:color w:val="000000"/>
                      <w:szCs w:val="21"/>
                    </w:rPr>
                    <w:t>区</w:t>
                  </w:r>
                </w:p>
              </w:tc>
              <w:tc>
                <w:tcPr>
                  <w:tcW w:w="2731" w:type="pct"/>
                  <w:noWrap w:val="0"/>
                  <w:vAlign w:val="center"/>
                </w:tcPr>
                <w:p>
                  <w:pPr>
                    <w:jc w:val="center"/>
                    <w:rPr>
                      <w:bCs/>
                      <w:color w:val="000000"/>
                      <w:szCs w:val="21"/>
                    </w:rPr>
                  </w:pPr>
                  <w:r>
                    <w:rPr>
                      <w:bCs/>
                      <w:color w:val="000000"/>
                      <w:szCs w:val="21"/>
                    </w:rPr>
                    <w:t>位于租赁厂房</w:t>
                  </w:r>
                  <w:r>
                    <w:rPr>
                      <w:rFonts w:hint="eastAsia"/>
                      <w:bCs/>
                      <w:color w:val="000000"/>
                      <w:szCs w:val="21"/>
                    </w:rPr>
                    <w:t>2</w:t>
                  </w:r>
                  <w:r>
                    <w:rPr>
                      <w:bCs/>
                      <w:color w:val="000000"/>
                      <w:szCs w:val="21"/>
                    </w:rPr>
                    <w:t>F西</w:t>
                  </w:r>
                  <w:r>
                    <w:rPr>
                      <w:rFonts w:hint="eastAsia"/>
                      <w:bCs/>
                      <w:color w:val="000000"/>
                      <w:szCs w:val="21"/>
                    </w:rPr>
                    <w:t>南</w:t>
                  </w:r>
                  <w:r>
                    <w:rPr>
                      <w:bCs/>
                      <w:color w:val="000000"/>
                      <w:szCs w:val="21"/>
                    </w:rPr>
                    <w:t>侧，建筑面积约</w:t>
                  </w:r>
                  <w:r>
                    <w:rPr>
                      <w:rFonts w:hint="eastAsia"/>
                      <w:bCs/>
                      <w:color w:val="000000"/>
                      <w:szCs w:val="21"/>
                    </w:rPr>
                    <w:t>100</w:t>
                  </w:r>
                  <w:r>
                    <w:rPr>
                      <w:rFonts w:eastAsia="新宋体"/>
                      <w:color w:val="000000"/>
                      <w:kern w:val="0"/>
                      <w:sz w:val="24"/>
                    </w:rPr>
                    <w:t>m</w:t>
                  </w:r>
                  <w:r>
                    <w:rPr>
                      <w:rFonts w:eastAsia="新宋体"/>
                      <w:color w:val="000000"/>
                      <w:kern w:val="0"/>
                      <w:sz w:val="24"/>
                      <w:vertAlign w:val="superscript"/>
                    </w:rPr>
                    <w:t>2</w:t>
                  </w:r>
                  <w:r>
                    <w:rPr>
                      <w:bCs/>
                      <w:color w:val="000000"/>
                      <w:szCs w:val="21"/>
                    </w:rPr>
                    <w:t>，</w:t>
                  </w:r>
                  <w:r>
                    <w:rPr>
                      <w:rFonts w:hint="eastAsia"/>
                      <w:bCs/>
                      <w:color w:val="000000"/>
                      <w:szCs w:val="21"/>
                    </w:rPr>
                    <w:t>用于成品的堆放</w:t>
                  </w:r>
                </w:p>
              </w:tc>
              <w:tc>
                <w:tcPr>
                  <w:tcW w:w="1381" w:type="pct"/>
                  <w:noWrap w:val="0"/>
                  <w:vAlign w:val="center"/>
                </w:tcPr>
                <w:p>
                  <w:pPr>
                    <w:jc w:val="center"/>
                    <w:rPr>
                      <w:bCs/>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rPr>
              <w:tc>
                <w:tcPr>
                  <w:tcW w:w="234" w:type="pct"/>
                  <w:vMerge w:val="continue"/>
                  <w:noWrap w:val="0"/>
                  <w:vAlign w:val="center"/>
                </w:tcPr>
                <w:p>
                  <w:pPr>
                    <w:jc w:val="center"/>
                    <w:rPr>
                      <w:bCs/>
                      <w:color w:val="000000"/>
                      <w:szCs w:val="21"/>
                    </w:rPr>
                  </w:pPr>
                </w:p>
              </w:tc>
              <w:tc>
                <w:tcPr>
                  <w:tcW w:w="653" w:type="pct"/>
                  <w:noWrap w:val="0"/>
                  <w:vAlign w:val="center"/>
                </w:tcPr>
                <w:p>
                  <w:pPr>
                    <w:jc w:val="center"/>
                    <w:rPr>
                      <w:rFonts w:hint="eastAsia"/>
                      <w:bCs/>
                      <w:color w:val="000000"/>
                      <w:szCs w:val="21"/>
                    </w:rPr>
                  </w:pPr>
                  <w:r>
                    <w:rPr>
                      <w:rFonts w:hint="eastAsia"/>
                      <w:color w:val="000000"/>
                      <w:szCs w:val="21"/>
                    </w:rPr>
                    <w:t>辅料间</w:t>
                  </w:r>
                </w:p>
              </w:tc>
              <w:tc>
                <w:tcPr>
                  <w:tcW w:w="2731" w:type="pct"/>
                  <w:noWrap w:val="0"/>
                  <w:vAlign w:val="center"/>
                </w:tcPr>
                <w:p>
                  <w:pPr>
                    <w:jc w:val="center"/>
                    <w:rPr>
                      <w:bCs/>
                      <w:color w:val="000000"/>
                      <w:szCs w:val="21"/>
                    </w:rPr>
                  </w:pPr>
                  <w:r>
                    <w:rPr>
                      <w:bCs/>
                      <w:color w:val="000000"/>
                      <w:szCs w:val="21"/>
                    </w:rPr>
                    <w:t>位于租赁厂房</w:t>
                  </w:r>
                  <w:r>
                    <w:rPr>
                      <w:rFonts w:hint="eastAsia"/>
                      <w:bCs/>
                      <w:color w:val="000000"/>
                      <w:szCs w:val="21"/>
                    </w:rPr>
                    <w:t>2</w:t>
                  </w:r>
                  <w:r>
                    <w:rPr>
                      <w:bCs/>
                      <w:color w:val="000000"/>
                      <w:szCs w:val="21"/>
                    </w:rPr>
                    <w:t>F</w:t>
                  </w:r>
                  <w:r>
                    <w:rPr>
                      <w:rFonts w:hint="eastAsia"/>
                      <w:bCs/>
                      <w:color w:val="000000"/>
                      <w:szCs w:val="21"/>
                    </w:rPr>
                    <w:t>东北</w:t>
                  </w:r>
                  <w:r>
                    <w:rPr>
                      <w:bCs/>
                      <w:color w:val="000000"/>
                      <w:szCs w:val="21"/>
                    </w:rPr>
                    <w:t>侧，建筑面积约</w:t>
                  </w:r>
                  <w:r>
                    <w:rPr>
                      <w:rFonts w:hint="eastAsia"/>
                      <w:bCs/>
                      <w:color w:val="000000"/>
                      <w:szCs w:val="21"/>
                    </w:rPr>
                    <w:t>20</w:t>
                  </w:r>
                  <w:r>
                    <w:rPr>
                      <w:rFonts w:eastAsia="新宋体"/>
                      <w:color w:val="000000"/>
                      <w:kern w:val="0"/>
                      <w:sz w:val="24"/>
                    </w:rPr>
                    <w:t>m</w:t>
                  </w:r>
                  <w:r>
                    <w:rPr>
                      <w:rFonts w:eastAsia="新宋体"/>
                      <w:color w:val="000000"/>
                      <w:kern w:val="0"/>
                      <w:sz w:val="24"/>
                      <w:vertAlign w:val="superscript"/>
                    </w:rPr>
                    <w:t>2</w:t>
                  </w:r>
                  <w:r>
                    <w:rPr>
                      <w:bCs/>
                      <w:color w:val="000000"/>
                      <w:szCs w:val="21"/>
                    </w:rPr>
                    <w:t>，</w:t>
                  </w:r>
                  <w:r>
                    <w:rPr>
                      <w:rFonts w:hint="eastAsia"/>
                      <w:bCs/>
                      <w:color w:val="000000"/>
                      <w:szCs w:val="21"/>
                    </w:rPr>
                    <w:t>主要用于水性木工胶（一次最大储存量0.5t）及漆料（一次最大储存量0.8t）的存放</w:t>
                  </w:r>
                </w:p>
              </w:tc>
              <w:tc>
                <w:tcPr>
                  <w:tcW w:w="1381" w:type="pct"/>
                  <w:noWrap w:val="0"/>
                  <w:vAlign w:val="center"/>
                </w:tcPr>
                <w:p>
                  <w:pPr>
                    <w:jc w:val="center"/>
                    <w:rPr>
                      <w:bCs/>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234" w:type="pct"/>
                  <w:vMerge w:val="restart"/>
                  <w:noWrap w:val="0"/>
                  <w:vAlign w:val="center"/>
                </w:tcPr>
                <w:p>
                  <w:pPr>
                    <w:jc w:val="center"/>
                    <w:rPr>
                      <w:color w:val="000000"/>
                      <w:szCs w:val="21"/>
                    </w:rPr>
                  </w:pPr>
                  <w:r>
                    <w:rPr>
                      <w:rFonts w:hAnsi="宋体"/>
                      <w:color w:val="000000"/>
                      <w:szCs w:val="21"/>
                    </w:rPr>
                    <w:t>公用工程</w:t>
                  </w:r>
                </w:p>
              </w:tc>
              <w:tc>
                <w:tcPr>
                  <w:tcW w:w="653" w:type="pct"/>
                  <w:noWrap w:val="0"/>
                  <w:vAlign w:val="center"/>
                </w:tcPr>
                <w:p>
                  <w:pPr>
                    <w:jc w:val="center"/>
                    <w:rPr>
                      <w:color w:val="000000"/>
                      <w:szCs w:val="21"/>
                    </w:rPr>
                  </w:pPr>
                  <w:r>
                    <w:rPr>
                      <w:rFonts w:hAnsi="宋体"/>
                      <w:color w:val="000000"/>
                      <w:szCs w:val="21"/>
                    </w:rPr>
                    <w:t>供电</w:t>
                  </w:r>
                </w:p>
              </w:tc>
              <w:tc>
                <w:tcPr>
                  <w:tcW w:w="2731" w:type="pct"/>
                  <w:noWrap w:val="0"/>
                  <w:vAlign w:val="center"/>
                </w:tcPr>
                <w:p>
                  <w:pPr>
                    <w:jc w:val="center"/>
                    <w:rPr>
                      <w:color w:val="000000"/>
                      <w:szCs w:val="21"/>
                    </w:rPr>
                  </w:pPr>
                  <w:r>
                    <w:rPr>
                      <w:bCs/>
                      <w:color w:val="000000"/>
                      <w:szCs w:val="21"/>
                    </w:rPr>
                    <w:t>由市政电网接入</w:t>
                  </w:r>
                </w:p>
              </w:tc>
              <w:tc>
                <w:tcPr>
                  <w:tcW w:w="1381" w:type="pct"/>
                  <w:noWrap w:val="0"/>
                  <w:vAlign w:val="center"/>
                </w:tcPr>
                <w:p>
                  <w:pPr>
                    <w:jc w:val="center"/>
                    <w:rPr>
                      <w:bCs/>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234" w:type="pct"/>
                  <w:vMerge w:val="continue"/>
                  <w:noWrap w:val="0"/>
                  <w:vAlign w:val="center"/>
                </w:tcPr>
                <w:p>
                  <w:pPr>
                    <w:jc w:val="center"/>
                    <w:rPr>
                      <w:color w:val="000000"/>
                      <w:szCs w:val="21"/>
                    </w:rPr>
                  </w:pPr>
                </w:p>
              </w:tc>
              <w:tc>
                <w:tcPr>
                  <w:tcW w:w="653" w:type="pct"/>
                  <w:noWrap w:val="0"/>
                  <w:vAlign w:val="center"/>
                </w:tcPr>
                <w:p>
                  <w:pPr>
                    <w:jc w:val="center"/>
                    <w:rPr>
                      <w:color w:val="000000"/>
                      <w:szCs w:val="21"/>
                    </w:rPr>
                  </w:pPr>
                  <w:r>
                    <w:rPr>
                      <w:rFonts w:hAnsi="宋体"/>
                      <w:color w:val="000000"/>
                      <w:szCs w:val="21"/>
                    </w:rPr>
                    <w:t>给水</w:t>
                  </w:r>
                </w:p>
              </w:tc>
              <w:tc>
                <w:tcPr>
                  <w:tcW w:w="2731" w:type="pct"/>
                  <w:noWrap w:val="0"/>
                  <w:vAlign w:val="center"/>
                </w:tcPr>
                <w:p>
                  <w:pPr>
                    <w:jc w:val="center"/>
                    <w:rPr>
                      <w:rFonts w:hint="eastAsia"/>
                      <w:color w:val="000000"/>
                      <w:szCs w:val="21"/>
                    </w:rPr>
                  </w:pPr>
                  <w:r>
                    <w:rPr>
                      <w:rFonts w:hint="eastAsia"/>
                      <w:color w:val="000000"/>
                      <w:szCs w:val="21"/>
                    </w:rPr>
                    <w:t>有市政</w:t>
                  </w:r>
                  <w:r>
                    <w:rPr>
                      <w:color w:val="000000"/>
                      <w:szCs w:val="21"/>
                    </w:rPr>
                    <w:t>供水管网</w:t>
                  </w:r>
                  <w:r>
                    <w:rPr>
                      <w:rFonts w:hint="eastAsia"/>
                      <w:color w:val="000000"/>
                      <w:szCs w:val="21"/>
                    </w:rPr>
                    <w:t>引入</w:t>
                  </w:r>
                </w:p>
              </w:tc>
              <w:tc>
                <w:tcPr>
                  <w:tcW w:w="1381" w:type="pct"/>
                  <w:noWrap w:val="0"/>
                  <w:vAlign w:val="center"/>
                </w:tcPr>
                <w:p>
                  <w:pPr>
                    <w:jc w:val="center"/>
                    <w:rPr>
                      <w:rFonts w:hint="eastAsia"/>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234" w:type="pct"/>
                  <w:vMerge w:val="continue"/>
                  <w:noWrap w:val="0"/>
                  <w:vAlign w:val="center"/>
                </w:tcPr>
                <w:p>
                  <w:pPr>
                    <w:jc w:val="center"/>
                    <w:rPr>
                      <w:color w:val="000000"/>
                      <w:szCs w:val="21"/>
                    </w:rPr>
                  </w:pPr>
                </w:p>
              </w:tc>
              <w:tc>
                <w:tcPr>
                  <w:tcW w:w="653" w:type="pct"/>
                  <w:noWrap w:val="0"/>
                  <w:vAlign w:val="center"/>
                </w:tcPr>
                <w:p>
                  <w:pPr>
                    <w:jc w:val="center"/>
                    <w:rPr>
                      <w:color w:val="000000"/>
                      <w:szCs w:val="21"/>
                    </w:rPr>
                  </w:pPr>
                  <w:r>
                    <w:rPr>
                      <w:rFonts w:hAnsi="宋体"/>
                      <w:color w:val="000000"/>
                      <w:szCs w:val="21"/>
                    </w:rPr>
                    <w:t>排水</w:t>
                  </w:r>
                </w:p>
              </w:tc>
              <w:tc>
                <w:tcPr>
                  <w:tcW w:w="2731" w:type="pct"/>
                  <w:noWrap w:val="0"/>
                  <w:vAlign w:val="center"/>
                </w:tcPr>
                <w:p>
                  <w:pPr>
                    <w:jc w:val="center"/>
                    <w:rPr>
                      <w:color w:val="000000"/>
                      <w:szCs w:val="21"/>
                    </w:rPr>
                  </w:pPr>
                  <w:r>
                    <w:rPr>
                      <w:color w:val="000000"/>
                      <w:szCs w:val="21"/>
                    </w:rPr>
                    <w:t>雨污分流，雨水经厂区雨水管道排至厂外道路市政雨水管网，</w:t>
                  </w:r>
                  <w:r>
                    <w:rPr>
                      <w:rFonts w:hint="eastAsia"/>
                      <w:color w:val="000000"/>
                      <w:szCs w:val="21"/>
                    </w:rPr>
                    <w:t>生活污水近期预处理后定期清掏，不外排，远期纳入棠树乡三拐村污水处理厂处理达标排放</w:t>
                  </w:r>
                </w:p>
              </w:tc>
              <w:tc>
                <w:tcPr>
                  <w:tcW w:w="1381" w:type="pct"/>
                  <w:noWrap w:val="0"/>
                  <w:vAlign w:val="center"/>
                </w:tcPr>
                <w:p>
                  <w:pPr>
                    <w:jc w:val="center"/>
                    <w:rPr>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234" w:type="pct"/>
                  <w:vMerge w:val="restart"/>
                  <w:noWrap w:val="0"/>
                  <w:vAlign w:val="center"/>
                </w:tcPr>
                <w:p>
                  <w:pPr>
                    <w:jc w:val="center"/>
                    <w:rPr>
                      <w:rFonts w:hAnsi="宋体"/>
                      <w:color w:val="000000"/>
                      <w:szCs w:val="21"/>
                    </w:rPr>
                  </w:pPr>
                </w:p>
                <w:p>
                  <w:pPr>
                    <w:jc w:val="center"/>
                    <w:rPr>
                      <w:rFonts w:hAnsi="宋体"/>
                      <w:color w:val="000000"/>
                      <w:szCs w:val="21"/>
                    </w:rPr>
                  </w:pPr>
                </w:p>
                <w:p>
                  <w:pPr>
                    <w:jc w:val="center"/>
                    <w:rPr>
                      <w:rFonts w:hAnsi="宋体"/>
                      <w:color w:val="000000"/>
                      <w:szCs w:val="21"/>
                    </w:rPr>
                  </w:pPr>
                </w:p>
                <w:p>
                  <w:pPr>
                    <w:jc w:val="center"/>
                    <w:rPr>
                      <w:rFonts w:hAnsi="宋体"/>
                      <w:color w:val="000000"/>
                      <w:szCs w:val="21"/>
                    </w:rPr>
                  </w:pPr>
                </w:p>
                <w:p>
                  <w:pPr>
                    <w:jc w:val="center"/>
                    <w:rPr>
                      <w:color w:val="000000"/>
                      <w:szCs w:val="21"/>
                    </w:rPr>
                  </w:pPr>
                  <w:r>
                    <w:rPr>
                      <w:rFonts w:hAnsi="宋体"/>
                      <w:color w:val="000000"/>
                      <w:szCs w:val="21"/>
                    </w:rPr>
                    <w:t>环保工程</w:t>
                  </w:r>
                </w:p>
              </w:tc>
              <w:tc>
                <w:tcPr>
                  <w:tcW w:w="653" w:type="pct"/>
                  <w:vMerge w:val="restart"/>
                  <w:noWrap w:val="0"/>
                  <w:vAlign w:val="center"/>
                </w:tcPr>
                <w:p>
                  <w:pPr>
                    <w:jc w:val="center"/>
                    <w:rPr>
                      <w:color w:val="000000"/>
                      <w:szCs w:val="21"/>
                    </w:rPr>
                  </w:pPr>
                  <w:r>
                    <w:rPr>
                      <w:rFonts w:hAnsi="宋体"/>
                      <w:color w:val="000000"/>
                      <w:szCs w:val="21"/>
                    </w:rPr>
                    <w:t>废水</w:t>
                  </w:r>
                </w:p>
                <w:p>
                  <w:pPr>
                    <w:jc w:val="center"/>
                    <w:rPr>
                      <w:color w:val="000000"/>
                      <w:szCs w:val="21"/>
                    </w:rPr>
                  </w:pPr>
                  <w:r>
                    <w:rPr>
                      <w:rFonts w:hAnsi="宋体"/>
                      <w:color w:val="000000"/>
                      <w:szCs w:val="21"/>
                    </w:rPr>
                    <w:t>治理</w:t>
                  </w:r>
                </w:p>
              </w:tc>
              <w:tc>
                <w:tcPr>
                  <w:tcW w:w="2731" w:type="pct"/>
                  <w:noWrap w:val="0"/>
                  <w:vAlign w:val="center"/>
                </w:tcPr>
                <w:p>
                  <w:pPr>
                    <w:jc w:val="center"/>
                    <w:rPr>
                      <w:color w:val="000000"/>
                      <w:szCs w:val="21"/>
                    </w:rPr>
                  </w:pPr>
                  <w:r>
                    <w:rPr>
                      <w:color w:val="000000"/>
                      <w:szCs w:val="21"/>
                    </w:rPr>
                    <w:t>雨污分流，雨水经厂区雨水管道排至厂外道路市政雨水管网，</w:t>
                  </w:r>
                  <w:r>
                    <w:rPr>
                      <w:rFonts w:hint="eastAsia"/>
                      <w:color w:val="000000"/>
                      <w:szCs w:val="21"/>
                    </w:rPr>
                    <w:t>生活污水近期依托舒城友源电子科技有限公司院内隔油池、化粪池处理后定期清掏，用于项目周边农业施肥，综合利用不外排，远期待棠树乡三拐村污水处理厂投入运行并具备接管条件后，污水接管纳入污水处理厂处理达标排放</w:t>
                  </w:r>
                </w:p>
              </w:tc>
              <w:tc>
                <w:tcPr>
                  <w:tcW w:w="1381" w:type="pct"/>
                  <w:noWrap w:val="0"/>
                  <w:vAlign w:val="center"/>
                </w:tcPr>
                <w:p>
                  <w:pPr>
                    <w:jc w:val="center"/>
                    <w:rPr>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234" w:type="pct"/>
                  <w:vMerge w:val="continue"/>
                  <w:noWrap w:val="0"/>
                  <w:vAlign w:val="center"/>
                </w:tcPr>
                <w:p>
                  <w:pPr>
                    <w:jc w:val="center"/>
                    <w:rPr>
                      <w:rFonts w:hAnsi="宋体"/>
                      <w:color w:val="000000"/>
                      <w:szCs w:val="21"/>
                    </w:rPr>
                  </w:pPr>
                </w:p>
              </w:tc>
              <w:tc>
                <w:tcPr>
                  <w:tcW w:w="653" w:type="pct"/>
                  <w:vMerge w:val="continue"/>
                  <w:noWrap w:val="0"/>
                  <w:vAlign w:val="center"/>
                </w:tcPr>
                <w:p>
                  <w:pPr>
                    <w:jc w:val="center"/>
                    <w:rPr>
                      <w:rFonts w:hAnsi="宋体"/>
                      <w:color w:val="000000"/>
                      <w:szCs w:val="21"/>
                    </w:rPr>
                  </w:pPr>
                </w:p>
              </w:tc>
              <w:tc>
                <w:tcPr>
                  <w:tcW w:w="2731" w:type="pct"/>
                  <w:noWrap w:val="0"/>
                  <w:vAlign w:val="center"/>
                </w:tcPr>
                <w:p>
                  <w:pPr>
                    <w:jc w:val="center"/>
                    <w:rPr>
                      <w:color w:val="000000"/>
                      <w:szCs w:val="21"/>
                    </w:rPr>
                  </w:pPr>
                  <w:r>
                    <w:rPr>
                      <w:szCs w:val="21"/>
                    </w:rPr>
                    <w:t>水帘废水每3天经泵抽送至一体化处理设备（处理工艺：絮凝沉淀，处理规模</w:t>
                  </w:r>
                  <w:r>
                    <w:rPr>
                      <w:color w:val="FF0000"/>
                      <w:szCs w:val="21"/>
                    </w:rPr>
                    <w:t>：</w:t>
                  </w:r>
                  <w:r>
                    <w:rPr>
                      <w:rFonts w:hint="eastAsia"/>
                      <w:color w:val="FF0000"/>
                      <w:szCs w:val="21"/>
                      <w:lang w:val="en-US" w:eastAsia="zh-CN"/>
                    </w:rPr>
                    <w:t>12</w:t>
                  </w:r>
                  <w:r>
                    <w:rPr>
                      <w:color w:val="FF0000"/>
                      <w:szCs w:val="21"/>
                    </w:rPr>
                    <w:t>t/d）</w:t>
                  </w:r>
                  <w:r>
                    <w:rPr>
                      <w:szCs w:val="21"/>
                    </w:rPr>
                    <w:t>内，投加絮凝剂过滤出水帘废水中的漆渣后再泵回水帘柜内循环使用</w:t>
                  </w:r>
                </w:p>
              </w:tc>
              <w:tc>
                <w:tcPr>
                  <w:tcW w:w="1381" w:type="pct"/>
                  <w:noWrap w:val="0"/>
                  <w:vAlign w:val="center"/>
                </w:tcPr>
                <w:p>
                  <w:pPr>
                    <w:jc w:val="center"/>
                    <w:rPr>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trPr>
              <w:tc>
                <w:tcPr>
                  <w:tcW w:w="234" w:type="pct"/>
                  <w:vMerge w:val="continue"/>
                  <w:noWrap w:val="0"/>
                  <w:vAlign w:val="center"/>
                </w:tcPr>
                <w:p>
                  <w:pPr>
                    <w:jc w:val="center"/>
                    <w:rPr>
                      <w:color w:val="000000"/>
                      <w:szCs w:val="21"/>
                    </w:rPr>
                  </w:pPr>
                </w:p>
              </w:tc>
              <w:tc>
                <w:tcPr>
                  <w:tcW w:w="653" w:type="pct"/>
                  <w:vMerge w:val="restart"/>
                  <w:noWrap w:val="0"/>
                  <w:vAlign w:val="center"/>
                </w:tcPr>
                <w:p>
                  <w:pPr>
                    <w:jc w:val="center"/>
                    <w:rPr>
                      <w:rFonts w:hAnsi="宋体"/>
                      <w:color w:val="000000"/>
                      <w:szCs w:val="21"/>
                    </w:rPr>
                  </w:pPr>
                </w:p>
                <w:p>
                  <w:pPr>
                    <w:jc w:val="center"/>
                    <w:rPr>
                      <w:rFonts w:hAnsi="宋体"/>
                      <w:color w:val="000000"/>
                      <w:szCs w:val="21"/>
                    </w:rPr>
                  </w:pPr>
                </w:p>
                <w:p>
                  <w:pPr>
                    <w:jc w:val="center"/>
                    <w:rPr>
                      <w:rFonts w:hAnsi="宋体"/>
                      <w:color w:val="000000"/>
                      <w:szCs w:val="21"/>
                    </w:rPr>
                  </w:pPr>
                </w:p>
                <w:p>
                  <w:pPr>
                    <w:jc w:val="center"/>
                    <w:rPr>
                      <w:rFonts w:hAnsi="宋体"/>
                      <w:color w:val="000000"/>
                      <w:szCs w:val="21"/>
                    </w:rPr>
                  </w:pPr>
                </w:p>
                <w:p>
                  <w:pPr>
                    <w:jc w:val="center"/>
                    <w:rPr>
                      <w:color w:val="000000"/>
                      <w:szCs w:val="21"/>
                    </w:rPr>
                  </w:pPr>
                  <w:r>
                    <w:rPr>
                      <w:rFonts w:hAnsi="宋体"/>
                      <w:color w:val="000000"/>
                      <w:szCs w:val="21"/>
                    </w:rPr>
                    <w:t>废气</w:t>
                  </w:r>
                </w:p>
                <w:p>
                  <w:pPr>
                    <w:jc w:val="center"/>
                    <w:rPr>
                      <w:color w:val="000000"/>
                      <w:szCs w:val="21"/>
                    </w:rPr>
                  </w:pPr>
                  <w:r>
                    <w:rPr>
                      <w:rFonts w:hAnsi="宋体"/>
                      <w:color w:val="000000"/>
                      <w:szCs w:val="21"/>
                    </w:rPr>
                    <w:t>治理</w:t>
                  </w:r>
                </w:p>
              </w:tc>
              <w:tc>
                <w:tcPr>
                  <w:tcW w:w="2731" w:type="pct"/>
                  <w:noWrap w:val="0"/>
                  <w:vAlign w:val="center"/>
                </w:tcPr>
                <w:p>
                  <w:pPr>
                    <w:jc w:val="center"/>
                    <w:rPr>
                      <w:rFonts w:hint="eastAsia"/>
                      <w:color w:val="000000"/>
                      <w:szCs w:val="21"/>
                    </w:rPr>
                  </w:pPr>
                  <w:r>
                    <w:rPr>
                      <w:color w:val="000000"/>
                      <w:szCs w:val="21"/>
                    </w:rPr>
                    <w:t>木工粉尘：</w:t>
                  </w:r>
                  <w:r>
                    <w:rPr>
                      <w:rFonts w:hint="eastAsia"/>
                      <w:color w:val="000000"/>
                      <w:szCs w:val="21"/>
                    </w:rPr>
                    <w:t>木工</w:t>
                  </w:r>
                  <w:r>
                    <w:rPr>
                      <w:color w:val="000000"/>
                      <w:szCs w:val="21"/>
                    </w:rPr>
                    <w:t>工段</w:t>
                  </w:r>
                  <w:r>
                    <w:rPr>
                      <w:bCs/>
                      <w:color w:val="000000"/>
                      <w:szCs w:val="21"/>
                    </w:rPr>
                    <w:t>产生的粉尘</w:t>
                  </w:r>
                  <w:r>
                    <w:rPr>
                      <w:rFonts w:hint="eastAsia"/>
                      <w:bCs/>
                      <w:color w:val="000000"/>
                      <w:szCs w:val="21"/>
                    </w:rPr>
                    <w:t>负压收集后</w:t>
                  </w:r>
                  <w:r>
                    <w:rPr>
                      <w:color w:val="000000"/>
                      <w:szCs w:val="21"/>
                    </w:rPr>
                    <w:t>经中央</w:t>
                  </w:r>
                  <w:r>
                    <w:rPr>
                      <w:rFonts w:hint="eastAsia"/>
                      <w:color w:val="000000"/>
                      <w:szCs w:val="21"/>
                    </w:rPr>
                    <w:t>集气</w:t>
                  </w:r>
                  <w:r>
                    <w:rPr>
                      <w:color w:val="000000"/>
                      <w:szCs w:val="21"/>
                    </w:rPr>
                    <w:t>管道统一纳入</w:t>
                  </w:r>
                  <w:r>
                    <w:rPr>
                      <w:rFonts w:hint="eastAsia"/>
                      <w:color w:val="000000"/>
                      <w:szCs w:val="21"/>
                      <w:lang w:eastAsia="zh-CN"/>
                    </w:rPr>
                    <w:t>沉降室</w:t>
                  </w:r>
                  <w:r>
                    <w:rPr>
                      <w:rFonts w:hint="eastAsia"/>
                      <w:color w:val="000000"/>
                      <w:szCs w:val="21"/>
                      <w:lang w:val="en-US" w:eastAsia="zh-CN"/>
                    </w:rPr>
                    <w:t>+</w:t>
                  </w:r>
                  <w:r>
                    <w:rPr>
                      <w:color w:val="000000"/>
                      <w:szCs w:val="21"/>
                    </w:rPr>
                    <w:t>布袋除尘器处理后由1根15m高排气筒（DA001）有组织排放</w:t>
                  </w:r>
                </w:p>
              </w:tc>
              <w:tc>
                <w:tcPr>
                  <w:tcW w:w="1381" w:type="pct"/>
                  <w:noWrap w:val="0"/>
                  <w:vAlign w:val="center"/>
                </w:tcPr>
                <w:p>
                  <w:pPr>
                    <w:jc w:val="center"/>
                    <w:rPr>
                      <w:color w:val="000000"/>
                      <w:szCs w:val="21"/>
                    </w:rPr>
                  </w:pPr>
                  <w:r>
                    <w:rPr>
                      <w:rFonts w:hint="eastAsia"/>
                      <w:color w:val="000000"/>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trPr>
              <w:tc>
                <w:tcPr>
                  <w:tcW w:w="234" w:type="pct"/>
                  <w:vMerge w:val="continue"/>
                  <w:noWrap w:val="0"/>
                  <w:vAlign w:val="center"/>
                </w:tcPr>
                <w:p>
                  <w:pPr>
                    <w:jc w:val="center"/>
                    <w:rPr>
                      <w:color w:val="000000"/>
                      <w:szCs w:val="21"/>
                    </w:rPr>
                  </w:pPr>
                </w:p>
              </w:tc>
              <w:tc>
                <w:tcPr>
                  <w:tcW w:w="653" w:type="pct"/>
                  <w:vMerge w:val="continue"/>
                  <w:noWrap w:val="0"/>
                  <w:vAlign w:val="center"/>
                </w:tcPr>
                <w:p>
                  <w:pPr>
                    <w:jc w:val="center"/>
                    <w:rPr>
                      <w:rFonts w:hAnsi="宋体"/>
                      <w:color w:val="000000"/>
                      <w:szCs w:val="21"/>
                    </w:rPr>
                  </w:pPr>
                </w:p>
              </w:tc>
              <w:tc>
                <w:tcPr>
                  <w:tcW w:w="2731" w:type="pct"/>
                  <w:noWrap w:val="0"/>
                  <w:vAlign w:val="center"/>
                </w:tcPr>
                <w:p>
                  <w:pPr>
                    <w:pStyle w:val="2"/>
                    <w:spacing w:line="240" w:lineRule="auto"/>
                    <w:jc w:val="center"/>
                    <w:rPr>
                      <w:rFonts w:hint="eastAsia"/>
                      <w:szCs w:val="21"/>
                    </w:rPr>
                  </w:pPr>
                  <w:r>
                    <w:rPr>
                      <w:rFonts w:hint="eastAsia" w:ascii="Times New Roman" w:cs="Times New Roman"/>
                      <w:b w:val="0"/>
                      <w:bCs/>
                      <w:sz w:val="21"/>
                      <w:szCs w:val="21"/>
                    </w:rPr>
                    <w:t>胶水</w:t>
                  </w:r>
                  <w:r>
                    <w:rPr>
                      <w:rFonts w:ascii="Times New Roman" w:cs="Times New Roman"/>
                      <w:b w:val="0"/>
                      <w:bCs/>
                      <w:sz w:val="21"/>
                      <w:szCs w:val="21"/>
                    </w:rPr>
                    <w:t>废气：</w:t>
                  </w:r>
                  <w:r>
                    <w:rPr>
                      <w:rFonts w:hint="eastAsia" w:ascii="Times New Roman" w:cs="Times New Roman"/>
                      <w:b w:val="0"/>
                      <w:bCs/>
                      <w:sz w:val="21"/>
                      <w:szCs w:val="21"/>
                    </w:rPr>
                    <w:t>本项目使用胶全部为水性胶。产生的有机废气通过负压收集系统后引入“二级活性炭吸附”处理系统处理后最终由1根15m（DA002）排气筒有组织排放</w:t>
                  </w:r>
                </w:p>
              </w:tc>
              <w:tc>
                <w:tcPr>
                  <w:tcW w:w="1381" w:type="pct"/>
                  <w:noWrap w:val="0"/>
                  <w:vAlign w:val="center"/>
                </w:tcPr>
                <w:p>
                  <w:pPr>
                    <w:pStyle w:val="2"/>
                    <w:spacing w:line="240" w:lineRule="auto"/>
                    <w:jc w:val="center"/>
                    <w:rPr>
                      <w:rFonts w:hint="eastAsia" w:ascii="Times New Roman" w:cs="Times New Roman"/>
                      <w:b w:val="0"/>
                      <w:bCs/>
                      <w:sz w:val="21"/>
                      <w:szCs w:val="21"/>
                      <w:lang w:val="en-US" w:eastAsia="zh-CN"/>
                    </w:rPr>
                  </w:pPr>
                  <w:r>
                    <w:rPr>
                      <w:rFonts w:hint="eastAsia" w:ascii="Times New Roman" w:cs="Times New Roman"/>
                      <w:b w:val="0"/>
                      <w:bCs/>
                      <w:sz w:val="21"/>
                      <w:szCs w:val="21"/>
                      <w:lang w:eastAsia="zh-CN"/>
                    </w:rPr>
                    <w:t>根据胶水成分可知，</w:t>
                  </w:r>
                  <w:r>
                    <w:rPr>
                      <w:rFonts w:hint="eastAsia" w:ascii="Times New Roman" w:cs="Times New Roman"/>
                      <w:b w:val="0"/>
                      <w:bCs/>
                      <w:sz w:val="21"/>
                      <w:szCs w:val="21"/>
                      <w:lang w:val="en-US" w:eastAsia="zh-CN"/>
                    </w:rPr>
                    <w:t>VOCs含量低于10%，产生的废气以无组织形式</w:t>
                  </w:r>
                </w:p>
                <w:p>
                  <w:pPr>
                    <w:pStyle w:val="2"/>
                    <w:spacing w:line="240" w:lineRule="auto"/>
                    <w:jc w:val="center"/>
                    <w:rPr>
                      <w:rFonts w:hint="default" w:ascii="Times New Roman" w:eastAsia="宋体" w:cs="Times New Roman"/>
                      <w:b w:val="0"/>
                      <w:bCs/>
                      <w:sz w:val="21"/>
                      <w:szCs w:val="21"/>
                      <w:lang w:val="en-US" w:eastAsia="zh-CN"/>
                    </w:rPr>
                  </w:pPr>
                  <w:r>
                    <w:rPr>
                      <w:rFonts w:hint="eastAsia" w:ascii="Times New Roman" w:cs="Times New Roman"/>
                      <w:b w:val="0"/>
                      <w:bCs/>
                      <w:sz w:val="21"/>
                      <w:szCs w:val="21"/>
                      <w:lang w:val="en-US" w:eastAsia="zh-CN"/>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234" w:type="pct"/>
                  <w:vMerge w:val="continue"/>
                  <w:noWrap w:val="0"/>
                  <w:vAlign w:val="center"/>
                </w:tcPr>
                <w:p>
                  <w:pPr>
                    <w:jc w:val="center"/>
                    <w:rPr>
                      <w:color w:val="000000"/>
                      <w:szCs w:val="21"/>
                    </w:rPr>
                  </w:pPr>
                </w:p>
              </w:tc>
              <w:tc>
                <w:tcPr>
                  <w:tcW w:w="653" w:type="pct"/>
                  <w:vMerge w:val="continue"/>
                  <w:noWrap w:val="0"/>
                  <w:vAlign w:val="center"/>
                </w:tcPr>
                <w:p>
                  <w:pPr>
                    <w:jc w:val="center"/>
                    <w:rPr>
                      <w:rFonts w:hAnsi="宋体"/>
                      <w:color w:val="000000"/>
                      <w:szCs w:val="21"/>
                    </w:rPr>
                  </w:pPr>
                </w:p>
              </w:tc>
              <w:tc>
                <w:tcPr>
                  <w:tcW w:w="2731" w:type="pct"/>
                  <w:noWrap w:val="0"/>
                  <w:vAlign w:val="center"/>
                </w:tcPr>
                <w:p>
                  <w:pPr>
                    <w:pStyle w:val="4"/>
                    <w:spacing w:line="240" w:lineRule="auto"/>
                    <w:ind w:left="0" w:leftChars="0" w:firstLine="0" w:firstLineChars="0"/>
                    <w:jc w:val="center"/>
                    <w:rPr>
                      <w:rFonts w:hint="eastAsia" w:ascii="Times New Roman"/>
                      <w:b/>
                      <w:bCs/>
                      <w:color w:val="000000"/>
                      <w:sz w:val="21"/>
                      <w:szCs w:val="21"/>
                      <w:highlight w:val="yellow"/>
                    </w:rPr>
                  </w:pPr>
                  <w:r>
                    <w:rPr>
                      <w:rFonts w:hint="eastAsia" w:ascii="Times New Roman"/>
                      <w:color w:val="000000"/>
                      <w:sz w:val="21"/>
                      <w:szCs w:val="21"/>
                    </w:rPr>
                    <w:t>涂装</w:t>
                  </w:r>
                  <w:r>
                    <w:rPr>
                      <w:rFonts w:ascii="Times New Roman"/>
                      <w:color w:val="000000"/>
                      <w:sz w:val="21"/>
                      <w:szCs w:val="21"/>
                    </w:rPr>
                    <w:t>废气：</w:t>
                  </w:r>
                  <w:r>
                    <w:rPr>
                      <w:rFonts w:hint="eastAsia" w:ascii="Times New Roman"/>
                      <w:color w:val="000000"/>
                      <w:sz w:val="21"/>
                      <w:szCs w:val="21"/>
                    </w:rPr>
                    <w:t>设置专用封闭喷漆房、晾干房、烤漆房，并配套负压集气系统，其中喷漆房设置</w:t>
                  </w:r>
                  <w:r>
                    <w:rPr>
                      <w:rFonts w:ascii="Times New Roman"/>
                      <w:sz w:val="21"/>
                      <w:szCs w:val="21"/>
                    </w:rPr>
                    <w:t>水帘+干式过滤棉层</w:t>
                  </w:r>
                  <w:r>
                    <w:rPr>
                      <w:rFonts w:hint="eastAsia" w:ascii="Times New Roman"/>
                      <w:color w:val="000000"/>
                      <w:sz w:val="21"/>
                      <w:szCs w:val="21"/>
                    </w:rPr>
                    <w:t>对漆雾颗粒进行吸收干燥后引出，与晾干房、烤漆房收集的有机废气一并引入1套“二级活性炭吸附”处理系统处理后最终由1根15m（DA003）排气筒有组织排放</w:t>
                  </w:r>
                </w:p>
              </w:tc>
              <w:tc>
                <w:tcPr>
                  <w:tcW w:w="1381" w:type="pct"/>
                  <w:noWrap w:val="0"/>
                  <w:vAlign w:val="center"/>
                </w:tcPr>
                <w:p>
                  <w:pPr>
                    <w:pStyle w:val="4"/>
                    <w:spacing w:line="240" w:lineRule="auto"/>
                    <w:ind w:firstLine="0"/>
                    <w:jc w:val="both"/>
                    <w:rPr>
                      <w:rFonts w:hint="eastAsia" w:ascii="Times New Roman"/>
                      <w:color w:val="000000"/>
                      <w:sz w:val="21"/>
                      <w:szCs w:val="21"/>
                    </w:rPr>
                  </w:pPr>
                  <w:r>
                    <w:rPr>
                      <w:rFonts w:hint="eastAsia"/>
                      <w:color w:val="000000"/>
                      <w:sz w:val="21"/>
                      <w:szCs w:val="21"/>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234" w:type="pct"/>
                  <w:vMerge w:val="continue"/>
                  <w:noWrap w:val="0"/>
                  <w:vAlign w:val="center"/>
                </w:tcPr>
                <w:p>
                  <w:pPr>
                    <w:jc w:val="center"/>
                    <w:rPr>
                      <w:color w:val="000000"/>
                      <w:szCs w:val="21"/>
                    </w:rPr>
                  </w:pPr>
                </w:p>
              </w:tc>
              <w:tc>
                <w:tcPr>
                  <w:tcW w:w="653" w:type="pct"/>
                  <w:vMerge w:val="continue"/>
                  <w:noWrap w:val="0"/>
                  <w:vAlign w:val="center"/>
                </w:tcPr>
                <w:p>
                  <w:pPr>
                    <w:jc w:val="center"/>
                    <w:rPr>
                      <w:rFonts w:hAnsi="宋体"/>
                      <w:color w:val="000000"/>
                      <w:szCs w:val="21"/>
                    </w:rPr>
                  </w:pPr>
                </w:p>
              </w:tc>
              <w:tc>
                <w:tcPr>
                  <w:tcW w:w="2731" w:type="pct"/>
                  <w:noWrap w:val="0"/>
                  <w:vAlign w:val="center"/>
                </w:tcPr>
                <w:p>
                  <w:pPr>
                    <w:pStyle w:val="4"/>
                    <w:spacing w:line="240" w:lineRule="auto"/>
                    <w:ind w:left="0" w:leftChars="0" w:firstLine="0" w:firstLineChars="0"/>
                    <w:jc w:val="center"/>
                    <w:rPr>
                      <w:rFonts w:hint="eastAsia" w:ascii="Times New Roman"/>
                      <w:color w:val="000000"/>
                      <w:sz w:val="21"/>
                      <w:szCs w:val="21"/>
                    </w:rPr>
                  </w:pPr>
                  <w:r>
                    <w:rPr>
                      <w:rFonts w:hint="eastAsia" w:ascii="Times New Roman"/>
                      <w:color w:val="000000"/>
                      <w:sz w:val="21"/>
                      <w:szCs w:val="21"/>
                    </w:rPr>
                    <w:t>漆磨粉尘：设专用打磨间，产生的漆磨粉尘负压收集后经</w:t>
                  </w:r>
                  <w:r>
                    <w:rPr>
                      <w:rFonts w:hint="eastAsia" w:ascii="Times New Roman"/>
                      <w:sz w:val="21"/>
                      <w:szCs w:val="21"/>
                    </w:rPr>
                    <w:t>布袋除尘器处理后</w:t>
                  </w:r>
                  <w:r>
                    <w:rPr>
                      <w:rFonts w:hint="eastAsia" w:ascii="Times New Roman"/>
                      <w:color w:val="000000"/>
                      <w:sz w:val="21"/>
                      <w:szCs w:val="21"/>
                    </w:rPr>
                    <w:t>由1根15m（DA004）排气筒有组织排放</w:t>
                  </w:r>
                </w:p>
              </w:tc>
              <w:tc>
                <w:tcPr>
                  <w:tcW w:w="1381" w:type="pct"/>
                  <w:noWrap w:val="0"/>
                  <w:vAlign w:val="center"/>
                </w:tcPr>
                <w:p>
                  <w:pPr>
                    <w:pStyle w:val="4"/>
                    <w:spacing w:line="240" w:lineRule="auto"/>
                    <w:ind w:left="0" w:leftChars="0" w:firstLine="0" w:firstLineChars="0"/>
                    <w:jc w:val="both"/>
                    <w:rPr>
                      <w:rFonts w:hint="default" w:ascii="Times New Roman" w:eastAsia="宋体"/>
                      <w:color w:val="000000"/>
                      <w:sz w:val="21"/>
                      <w:szCs w:val="21"/>
                      <w:lang w:val="en-US" w:eastAsia="zh-CN"/>
                    </w:rPr>
                  </w:pPr>
                  <w:r>
                    <w:rPr>
                      <w:rFonts w:hint="eastAsia"/>
                      <w:color w:val="000000"/>
                      <w:sz w:val="21"/>
                      <w:szCs w:val="21"/>
                      <w:lang w:val="en-US" w:eastAsia="zh-CN"/>
                    </w:rPr>
                    <w:t>实际漆磨粉尘经负压收集后通过水吸收，水循环使用，定期清捞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234" w:type="pct"/>
                  <w:vMerge w:val="continue"/>
                  <w:noWrap w:val="0"/>
                  <w:vAlign w:val="center"/>
                </w:tcPr>
                <w:p>
                  <w:pPr>
                    <w:jc w:val="center"/>
                    <w:rPr>
                      <w:color w:val="000000"/>
                      <w:szCs w:val="21"/>
                    </w:rPr>
                  </w:pPr>
                </w:p>
              </w:tc>
              <w:tc>
                <w:tcPr>
                  <w:tcW w:w="653" w:type="pct"/>
                  <w:noWrap w:val="0"/>
                  <w:vAlign w:val="center"/>
                </w:tcPr>
                <w:p>
                  <w:pPr>
                    <w:jc w:val="center"/>
                    <w:rPr>
                      <w:color w:val="000000"/>
                      <w:szCs w:val="21"/>
                    </w:rPr>
                  </w:pPr>
                  <w:r>
                    <w:rPr>
                      <w:rFonts w:hAnsi="宋体"/>
                      <w:color w:val="000000"/>
                      <w:szCs w:val="21"/>
                    </w:rPr>
                    <w:t>噪声</w:t>
                  </w:r>
                </w:p>
                <w:p>
                  <w:pPr>
                    <w:jc w:val="center"/>
                    <w:rPr>
                      <w:color w:val="000000"/>
                      <w:szCs w:val="21"/>
                    </w:rPr>
                  </w:pPr>
                  <w:r>
                    <w:rPr>
                      <w:rFonts w:hAnsi="宋体"/>
                      <w:color w:val="000000"/>
                      <w:szCs w:val="21"/>
                    </w:rPr>
                    <w:t>治理</w:t>
                  </w:r>
                </w:p>
              </w:tc>
              <w:tc>
                <w:tcPr>
                  <w:tcW w:w="2731" w:type="pct"/>
                  <w:noWrap w:val="0"/>
                  <w:vAlign w:val="center"/>
                </w:tcPr>
                <w:p>
                  <w:pPr>
                    <w:jc w:val="center"/>
                    <w:rPr>
                      <w:color w:val="000000"/>
                      <w:szCs w:val="21"/>
                    </w:rPr>
                  </w:pPr>
                  <w:r>
                    <w:rPr>
                      <w:rFonts w:hint="eastAsia"/>
                      <w:color w:val="000000"/>
                      <w:szCs w:val="21"/>
                    </w:rPr>
                    <w:t>选取优良、低噪生产设备；合理布局；</w:t>
                  </w:r>
                  <w:r>
                    <w:rPr>
                      <w:color w:val="000000"/>
                      <w:szCs w:val="21"/>
                    </w:rPr>
                    <w:t>采用厂房隔声、设备消声、减振等措施</w:t>
                  </w:r>
                </w:p>
              </w:tc>
              <w:tc>
                <w:tcPr>
                  <w:tcW w:w="1381" w:type="pct"/>
                  <w:noWrap w:val="0"/>
                  <w:vAlign w:val="center"/>
                </w:tcPr>
                <w:p>
                  <w:pPr>
                    <w:jc w:val="center"/>
                    <w:rPr>
                      <w:rFonts w:hint="eastAsia"/>
                      <w:color w:val="000000"/>
                      <w:szCs w:val="21"/>
                    </w:rPr>
                  </w:pPr>
                  <w:r>
                    <w:rPr>
                      <w:rFonts w:hint="eastAsia"/>
                      <w:color w:val="000000"/>
                      <w:sz w:val="21"/>
                      <w:szCs w:val="21"/>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234" w:type="pct"/>
                  <w:vMerge w:val="continue"/>
                  <w:noWrap w:val="0"/>
                  <w:vAlign w:val="center"/>
                </w:tcPr>
                <w:p>
                  <w:pPr>
                    <w:jc w:val="center"/>
                    <w:rPr>
                      <w:color w:val="000000"/>
                      <w:szCs w:val="21"/>
                    </w:rPr>
                  </w:pPr>
                </w:p>
              </w:tc>
              <w:tc>
                <w:tcPr>
                  <w:tcW w:w="653" w:type="pct"/>
                  <w:vMerge w:val="restart"/>
                  <w:noWrap w:val="0"/>
                  <w:vAlign w:val="center"/>
                </w:tcPr>
                <w:p>
                  <w:pPr>
                    <w:jc w:val="center"/>
                    <w:rPr>
                      <w:color w:val="000000"/>
                      <w:szCs w:val="21"/>
                    </w:rPr>
                  </w:pPr>
                  <w:r>
                    <w:rPr>
                      <w:rFonts w:hAnsi="宋体"/>
                      <w:color w:val="000000"/>
                      <w:szCs w:val="21"/>
                    </w:rPr>
                    <w:t>固废</w:t>
                  </w:r>
                </w:p>
                <w:p>
                  <w:pPr>
                    <w:jc w:val="center"/>
                    <w:rPr>
                      <w:color w:val="000000"/>
                      <w:szCs w:val="21"/>
                    </w:rPr>
                  </w:pPr>
                  <w:r>
                    <w:rPr>
                      <w:rFonts w:hAnsi="宋体"/>
                      <w:color w:val="000000"/>
                      <w:szCs w:val="21"/>
                    </w:rPr>
                    <w:t>治理</w:t>
                  </w:r>
                </w:p>
              </w:tc>
              <w:tc>
                <w:tcPr>
                  <w:tcW w:w="2731" w:type="pct"/>
                  <w:noWrap w:val="0"/>
                  <w:vAlign w:val="center"/>
                </w:tcPr>
                <w:p>
                  <w:pPr>
                    <w:tabs>
                      <w:tab w:val="left" w:pos="3255"/>
                    </w:tabs>
                    <w:jc w:val="center"/>
                    <w:rPr>
                      <w:rFonts w:hint="eastAsia"/>
                      <w:color w:val="000000"/>
                    </w:rPr>
                  </w:pPr>
                  <w:r>
                    <w:rPr>
                      <w:color w:val="000000"/>
                    </w:rPr>
                    <w:t>规范化一般工业固体废物暂存间和危废暂存间</w:t>
                  </w:r>
                  <w:r>
                    <w:rPr>
                      <w:rFonts w:hint="eastAsia"/>
                      <w:color w:val="000000"/>
                    </w:rPr>
                    <w:t>；</w:t>
                  </w:r>
                  <w:r>
                    <w:rPr>
                      <w:szCs w:val="21"/>
                    </w:rPr>
                    <w:t>位于1F厂房东南侧，建筑面积20m</w:t>
                  </w:r>
                  <w:r>
                    <w:rPr>
                      <w:szCs w:val="21"/>
                      <w:vertAlign w:val="superscript"/>
                    </w:rPr>
                    <w:t>2</w:t>
                  </w:r>
                  <w:r>
                    <w:rPr>
                      <w:szCs w:val="21"/>
                    </w:rPr>
                    <w:t>，</w:t>
                  </w:r>
                </w:p>
                <w:p>
                  <w:pPr>
                    <w:jc w:val="center"/>
                    <w:rPr>
                      <w:color w:val="000000"/>
                      <w:szCs w:val="21"/>
                    </w:rPr>
                  </w:pPr>
                  <w:r>
                    <w:rPr>
                      <w:rFonts w:hint="eastAsia"/>
                      <w:color w:val="000000"/>
                    </w:rPr>
                    <w:t>边角料、废包装材料等</w:t>
                  </w:r>
                  <w:r>
                    <w:rPr>
                      <w:rFonts w:hint="eastAsia"/>
                      <w:color w:val="000000"/>
                      <w:szCs w:val="21"/>
                    </w:rPr>
                    <w:t>一般工业固废经一般工业固废暂存间临时贮存后定期外售；</w:t>
                  </w:r>
                </w:p>
              </w:tc>
              <w:tc>
                <w:tcPr>
                  <w:tcW w:w="1381" w:type="pct"/>
                  <w:noWrap w:val="0"/>
                  <w:vAlign w:val="center"/>
                </w:tcPr>
                <w:p>
                  <w:pPr>
                    <w:jc w:val="center"/>
                    <w:rPr>
                      <w:rFonts w:hint="eastAsia"/>
                      <w:color w:val="000000"/>
                    </w:rPr>
                  </w:pPr>
                  <w:r>
                    <w:rPr>
                      <w:rFonts w:hint="eastAsia"/>
                      <w:color w:val="000000"/>
                      <w:sz w:val="21"/>
                      <w:szCs w:val="21"/>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234" w:type="pct"/>
                  <w:vMerge w:val="continue"/>
                  <w:noWrap w:val="0"/>
                  <w:vAlign w:val="center"/>
                </w:tcPr>
                <w:p>
                  <w:pPr>
                    <w:jc w:val="center"/>
                    <w:rPr>
                      <w:color w:val="000000"/>
                    </w:rPr>
                  </w:pPr>
                </w:p>
              </w:tc>
              <w:tc>
                <w:tcPr>
                  <w:tcW w:w="653" w:type="pct"/>
                  <w:vMerge w:val="continue"/>
                  <w:noWrap w:val="0"/>
                  <w:vAlign w:val="center"/>
                </w:tcPr>
                <w:p>
                  <w:pPr>
                    <w:jc w:val="center"/>
                    <w:rPr>
                      <w:color w:val="000000"/>
                    </w:rPr>
                  </w:pPr>
                </w:p>
              </w:tc>
              <w:tc>
                <w:tcPr>
                  <w:tcW w:w="2731" w:type="pct"/>
                  <w:noWrap w:val="0"/>
                  <w:vAlign w:val="center"/>
                </w:tcPr>
                <w:p>
                  <w:pPr>
                    <w:jc w:val="center"/>
                    <w:rPr>
                      <w:rFonts w:hAnsi="宋体"/>
                      <w:color w:val="000000"/>
                      <w:szCs w:val="21"/>
                    </w:rPr>
                  </w:pPr>
                  <w:r>
                    <w:rPr>
                      <w:bCs/>
                      <w:color w:val="000000"/>
                      <w:szCs w:val="21"/>
                    </w:rPr>
                    <w:t>废胶桶、</w:t>
                  </w:r>
                  <w:r>
                    <w:rPr>
                      <w:rFonts w:hint="eastAsia"/>
                      <w:bCs/>
                      <w:color w:val="000000"/>
                      <w:szCs w:val="21"/>
                    </w:rPr>
                    <w:t>废漆</w:t>
                  </w:r>
                  <w:r>
                    <w:rPr>
                      <w:bCs/>
                      <w:color w:val="000000"/>
                      <w:szCs w:val="21"/>
                    </w:rPr>
                    <w:t>桶</w:t>
                  </w:r>
                  <w:r>
                    <w:rPr>
                      <w:rFonts w:hint="eastAsia"/>
                      <w:bCs/>
                      <w:color w:val="000000"/>
                      <w:szCs w:val="21"/>
                    </w:rPr>
                    <w:t>、废过滤棉、废活性炭、除尘器收集的漆磨粉尘、漆渣</w:t>
                  </w:r>
                  <w:r>
                    <w:rPr>
                      <w:rFonts w:hint="eastAsia"/>
                      <w:bCs/>
                      <w:color w:val="000000"/>
                      <w:szCs w:val="21"/>
                      <w:lang w:eastAsia="zh-CN"/>
                    </w:rPr>
                    <w:t>、废漆渣</w:t>
                  </w:r>
                  <w:r>
                    <w:rPr>
                      <w:rFonts w:hint="eastAsia"/>
                      <w:bCs/>
                      <w:color w:val="000000"/>
                      <w:szCs w:val="21"/>
                    </w:rPr>
                    <w:t>等</w:t>
                  </w:r>
                  <w:r>
                    <w:rPr>
                      <w:rFonts w:hint="eastAsia"/>
                      <w:color w:val="000000"/>
                    </w:rPr>
                    <w:t>危险废物分类</w:t>
                  </w:r>
                  <w:r>
                    <w:rPr>
                      <w:color w:val="000000"/>
                    </w:rPr>
                    <w:t>规范暂存于危险废物暂存间</w:t>
                  </w:r>
                  <w:r>
                    <w:rPr>
                      <w:szCs w:val="21"/>
                    </w:rPr>
                    <w:t>（位于</w:t>
                  </w:r>
                  <w:r>
                    <w:rPr>
                      <w:rFonts w:hint="eastAsia"/>
                      <w:szCs w:val="21"/>
                    </w:rPr>
                    <w:t>2</w:t>
                  </w:r>
                  <w:r>
                    <w:rPr>
                      <w:szCs w:val="21"/>
                    </w:rPr>
                    <w:t>F厂房</w:t>
                  </w:r>
                  <w:r>
                    <w:rPr>
                      <w:rFonts w:hint="eastAsia"/>
                      <w:szCs w:val="21"/>
                    </w:rPr>
                    <w:t>北</w:t>
                  </w:r>
                  <w:r>
                    <w:rPr>
                      <w:szCs w:val="21"/>
                    </w:rPr>
                    <w:t>侧</w:t>
                  </w:r>
                  <w:r>
                    <w:rPr>
                      <w:rFonts w:hint="eastAsia"/>
                      <w:szCs w:val="21"/>
                    </w:rPr>
                    <w:t>，</w:t>
                  </w:r>
                  <w:r>
                    <w:rPr>
                      <w:szCs w:val="21"/>
                    </w:rPr>
                    <w:t>建筑面积</w:t>
                  </w:r>
                  <w:r>
                    <w:rPr>
                      <w:rFonts w:hint="eastAsia"/>
                      <w:szCs w:val="21"/>
                      <w:lang w:val="en-US" w:eastAsia="zh-CN"/>
                    </w:rPr>
                    <w:t>2</w:t>
                  </w:r>
                  <w:r>
                    <w:rPr>
                      <w:szCs w:val="21"/>
                    </w:rPr>
                    <w:t>0m</w:t>
                  </w:r>
                  <w:r>
                    <w:rPr>
                      <w:szCs w:val="21"/>
                      <w:vertAlign w:val="superscript"/>
                    </w:rPr>
                    <w:t>2</w:t>
                  </w:r>
                  <w:r>
                    <w:rPr>
                      <w:szCs w:val="21"/>
                    </w:rPr>
                    <w:t>）</w:t>
                  </w:r>
                  <w:r>
                    <w:rPr>
                      <w:color w:val="000000"/>
                    </w:rPr>
                    <w:t>内交由有资质单位处置</w:t>
                  </w:r>
                  <w:r>
                    <w:rPr>
                      <w:rFonts w:hint="eastAsia"/>
                      <w:color w:val="000000"/>
                    </w:rPr>
                    <w:t>；</w:t>
                  </w:r>
                </w:p>
              </w:tc>
              <w:tc>
                <w:tcPr>
                  <w:tcW w:w="1381" w:type="pct"/>
                  <w:noWrap w:val="0"/>
                  <w:vAlign w:val="center"/>
                </w:tcPr>
                <w:p>
                  <w:pPr>
                    <w:jc w:val="center"/>
                    <w:rPr>
                      <w:bCs/>
                      <w:color w:val="000000"/>
                      <w:szCs w:val="21"/>
                    </w:rPr>
                  </w:pPr>
                  <w:r>
                    <w:rPr>
                      <w:rFonts w:hint="eastAsia"/>
                      <w:color w:val="000000"/>
                    </w:rPr>
                    <w:t>危险废物分类</w:t>
                  </w:r>
                  <w:r>
                    <w:rPr>
                      <w:color w:val="000000"/>
                    </w:rPr>
                    <w:t>规范暂存于危险废物暂存间</w:t>
                  </w:r>
                  <w:r>
                    <w:rPr>
                      <w:szCs w:val="21"/>
                    </w:rPr>
                    <w:t>（位于厂房</w:t>
                  </w:r>
                  <w:r>
                    <w:rPr>
                      <w:rFonts w:hint="eastAsia"/>
                      <w:szCs w:val="21"/>
                      <w:lang w:eastAsia="zh-CN"/>
                    </w:rPr>
                    <w:t>外东北侧</w:t>
                  </w:r>
                  <w:r>
                    <w:rPr>
                      <w:rFonts w:hint="eastAsia"/>
                      <w:szCs w:val="21"/>
                    </w:rPr>
                    <w:t>，</w:t>
                  </w:r>
                  <w:r>
                    <w:rPr>
                      <w:szCs w:val="21"/>
                    </w:rPr>
                    <w:t>建筑面积</w:t>
                  </w:r>
                  <w:r>
                    <w:rPr>
                      <w:rFonts w:hint="eastAsia"/>
                      <w:szCs w:val="21"/>
                      <w:lang w:val="en-US" w:eastAsia="zh-CN"/>
                    </w:rPr>
                    <w:t>2</w:t>
                  </w:r>
                  <w:r>
                    <w:rPr>
                      <w:szCs w:val="21"/>
                    </w:rPr>
                    <w:t>0m</w:t>
                  </w:r>
                  <w:r>
                    <w:rPr>
                      <w:szCs w:val="21"/>
                      <w:vertAlign w:val="superscript"/>
                    </w:rPr>
                    <w:t>2</w:t>
                  </w:r>
                  <w:r>
                    <w:rPr>
                      <w:szCs w:val="21"/>
                    </w:rPr>
                    <w:t>）</w:t>
                  </w:r>
                  <w:r>
                    <w:rPr>
                      <w:color w:val="000000"/>
                    </w:rPr>
                    <w:t>内交由有资质单位处置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234" w:type="pct"/>
                  <w:vMerge w:val="continue"/>
                  <w:noWrap w:val="0"/>
                  <w:vAlign w:val="center"/>
                </w:tcPr>
                <w:p>
                  <w:pPr>
                    <w:jc w:val="center"/>
                    <w:rPr>
                      <w:rFonts w:hAnsi="宋体"/>
                      <w:color w:val="000000"/>
                      <w:szCs w:val="21"/>
                    </w:rPr>
                  </w:pPr>
                </w:p>
              </w:tc>
              <w:tc>
                <w:tcPr>
                  <w:tcW w:w="653" w:type="pct"/>
                  <w:vMerge w:val="continue"/>
                  <w:noWrap w:val="0"/>
                  <w:vAlign w:val="center"/>
                </w:tcPr>
                <w:p>
                  <w:pPr>
                    <w:jc w:val="center"/>
                    <w:rPr>
                      <w:rFonts w:hAnsi="宋体"/>
                      <w:color w:val="000000"/>
                      <w:szCs w:val="21"/>
                    </w:rPr>
                  </w:pPr>
                </w:p>
              </w:tc>
              <w:tc>
                <w:tcPr>
                  <w:tcW w:w="2731" w:type="pct"/>
                  <w:noWrap w:val="0"/>
                  <w:vAlign w:val="center"/>
                </w:tcPr>
                <w:p>
                  <w:pPr>
                    <w:jc w:val="center"/>
                    <w:rPr>
                      <w:rFonts w:hAnsi="宋体"/>
                      <w:color w:val="000000"/>
                      <w:szCs w:val="21"/>
                    </w:rPr>
                  </w:pPr>
                  <w:r>
                    <w:rPr>
                      <w:rFonts w:hAnsi="宋体"/>
                      <w:color w:val="000000"/>
                      <w:szCs w:val="21"/>
                    </w:rPr>
                    <w:t>生活垃圾配套垃圾桶定点投放，由环卫人员统一清运，做好垃圾的日产日清工作</w:t>
                  </w:r>
                </w:p>
              </w:tc>
              <w:tc>
                <w:tcPr>
                  <w:tcW w:w="1381" w:type="pct"/>
                  <w:noWrap w:val="0"/>
                  <w:vAlign w:val="center"/>
                </w:tcPr>
                <w:p>
                  <w:pPr>
                    <w:jc w:val="center"/>
                    <w:rPr>
                      <w:rFonts w:hAnsi="宋体"/>
                      <w:color w:val="000000"/>
                      <w:szCs w:val="21"/>
                    </w:rPr>
                  </w:pPr>
                  <w:r>
                    <w:rPr>
                      <w:rFonts w:hint="eastAsia"/>
                      <w:color w:val="000000"/>
                      <w:sz w:val="21"/>
                      <w:szCs w:val="21"/>
                      <w:lang w:eastAsia="zh-CN"/>
                    </w:rPr>
                    <w:t>与环评内容一致</w:t>
                  </w:r>
                </w:p>
              </w:tc>
            </w:tr>
          </w:tbl>
          <w:p>
            <w:pPr>
              <w:numPr>
                <w:ilvl w:val="0"/>
                <w:numId w:val="0"/>
              </w:numPr>
              <w:spacing w:line="360" w:lineRule="auto"/>
              <w:ind w:firstLine="482" w:firstLineChars="200"/>
              <w:rPr>
                <w:b/>
                <w:bCs/>
                <w:sz w:val="24"/>
              </w:rPr>
            </w:pPr>
            <w:r>
              <w:rPr>
                <w:rFonts w:hint="eastAsia"/>
                <w:b/>
                <w:bCs/>
                <w:sz w:val="24"/>
                <w:lang w:eastAsia="zh-CN"/>
              </w:rPr>
              <w:t>（</w:t>
            </w:r>
            <w:r>
              <w:rPr>
                <w:rFonts w:hint="eastAsia"/>
                <w:b/>
                <w:bCs/>
                <w:sz w:val="24"/>
                <w:lang w:val="en-US" w:eastAsia="zh-CN"/>
              </w:rPr>
              <w:t>3）</w:t>
            </w:r>
            <w:r>
              <w:rPr>
                <w:rFonts w:hint="eastAsia"/>
                <w:b/>
                <w:bCs/>
                <w:sz w:val="24"/>
              </w:rPr>
              <w:t>产品方案</w:t>
            </w:r>
          </w:p>
          <w:p>
            <w:pPr>
              <w:widowControl/>
              <w:spacing w:line="360" w:lineRule="auto"/>
              <w:jc w:val="center"/>
              <w:rPr>
                <w:b/>
                <w:bCs/>
                <w:sz w:val="24"/>
              </w:rPr>
            </w:pPr>
            <w:r>
              <w:rPr>
                <w:rFonts w:hint="eastAsia"/>
                <w:b/>
                <w:bCs/>
                <w:sz w:val="24"/>
              </w:rPr>
              <w:t xml:space="preserve">   </w:t>
            </w:r>
            <w:r>
              <w:rPr>
                <w:b/>
                <w:bCs/>
                <w:sz w:val="24"/>
              </w:rPr>
              <w:t>表2.</w:t>
            </w:r>
            <w:r>
              <w:rPr>
                <w:rFonts w:hint="eastAsia"/>
                <w:b/>
                <w:bCs/>
                <w:sz w:val="24"/>
                <w:lang w:val="en-US" w:eastAsia="zh-CN"/>
              </w:rPr>
              <w:t xml:space="preserve">3 </w:t>
            </w:r>
            <w:r>
              <w:rPr>
                <w:rFonts w:hint="eastAsia"/>
                <w:b/>
                <w:bCs/>
                <w:sz w:val="24"/>
              </w:rPr>
              <w:t>项目产品方案一览表</w:t>
            </w:r>
          </w:p>
          <w:tbl>
            <w:tblPr>
              <w:tblStyle w:val="21"/>
              <w:tblW w:w="498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47"/>
              <w:gridCol w:w="1856"/>
              <w:gridCol w:w="3199"/>
              <w:gridCol w:w="32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4" w:hRule="atLeast"/>
                <w:tblHeader/>
                <w:jc w:val="center"/>
              </w:trPr>
              <w:tc>
                <w:tcPr>
                  <w:tcW w:w="411" w:type="pct"/>
                  <w:noWrap w:val="0"/>
                  <w:vAlign w:val="center"/>
                </w:tcPr>
                <w:p>
                  <w:pPr>
                    <w:jc w:val="center"/>
                    <w:rPr>
                      <w:b/>
                      <w:szCs w:val="21"/>
                    </w:rPr>
                  </w:pPr>
                  <w:r>
                    <w:rPr>
                      <w:b/>
                      <w:szCs w:val="21"/>
                    </w:rPr>
                    <w:t>序号</w:t>
                  </w:r>
                </w:p>
              </w:tc>
              <w:tc>
                <w:tcPr>
                  <w:tcW w:w="1021" w:type="pct"/>
                  <w:noWrap w:val="0"/>
                  <w:vAlign w:val="center"/>
                </w:tcPr>
                <w:p>
                  <w:pPr>
                    <w:jc w:val="center"/>
                    <w:rPr>
                      <w:b/>
                      <w:szCs w:val="21"/>
                    </w:rPr>
                  </w:pPr>
                  <w:r>
                    <w:rPr>
                      <w:b/>
                      <w:szCs w:val="21"/>
                    </w:rPr>
                    <w:t>产品名称</w:t>
                  </w:r>
                </w:p>
              </w:tc>
              <w:tc>
                <w:tcPr>
                  <w:tcW w:w="1760" w:type="pct"/>
                  <w:tcBorders>
                    <w:bottom w:val="single" w:color="auto" w:sz="4" w:space="0"/>
                  </w:tcBorders>
                  <w:noWrap w:val="0"/>
                  <w:vAlign w:val="center"/>
                </w:tcPr>
                <w:p>
                  <w:pPr>
                    <w:jc w:val="center"/>
                    <w:rPr>
                      <w:b/>
                      <w:szCs w:val="21"/>
                    </w:rPr>
                  </w:pPr>
                  <w:r>
                    <w:rPr>
                      <w:rFonts w:hint="eastAsia"/>
                      <w:b/>
                      <w:szCs w:val="21"/>
                      <w:lang w:eastAsia="zh-CN"/>
                    </w:rPr>
                    <w:t>环评申报</w:t>
                  </w:r>
                  <w:r>
                    <w:rPr>
                      <w:b/>
                      <w:szCs w:val="21"/>
                    </w:rPr>
                    <w:t>数量（</w:t>
                  </w:r>
                  <w:r>
                    <w:rPr>
                      <w:rFonts w:hint="eastAsia"/>
                      <w:b/>
                      <w:szCs w:val="21"/>
                    </w:rPr>
                    <w:t>套</w:t>
                  </w:r>
                  <w:r>
                    <w:rPr>
                      <w:b/>
                      <w:szCs w:val="21"/>
                    </w:rPr>
                    <w:t>/a）</w:t>
                  </w:r>
                </w:p>
              </w:tc>
              <w:tc>
                <w:tcPr>
                  <w:tcW w:w="1805" w:type="pct"/>
                  <w:tcBorders>
                    <w:bottom w:val="single" w:color="auto" w:sz="4" w:space="0"/>
                  </w:tcBorders>
                  <w:noWrap w:val="0"/>
                  <w:vAlign w:val="center"/>
                </w:tcPr>
                <w:p>
                  <w:pPr>
                    <w:jc w:val="center"/>
                    <w:rPr>
                      <w:rFonts w:hint="eastAsia" w:eastAsiaTheme="minorEastAsia"/>
                      <w:b/>
                      <w:szCs w:val="21"/>
                      <w:lang w:eastAsia="zh-CN"/>
                    </w:rPr>
                  </w:pPr>
                  <w:r>
                    <w:rPr>
                      <w:rFonts w:hint="eastAsia"/>
                      <w:b/>
                      <w:szCs w:val="21"/>
                      <w:lang w:eastAsia="zh-CN"/>
                    </w:rPr>
                    <w:t>实际数量</w:t>
                  </w:r>
                  <w:r>
                    <w:rPr>
                      <w:b/>
                      <w:szCs w:val="21"/>
                    </w:rPr>
                    <w:t>（</w:t>
                  </w:r>
                  <w:r>
                    <w:rPr>
                      <w:rFonts w:hint="eastAsia"/>
                      <w:b/>
                      <w:szCs w:val="21"/>
                    </w:rPr>
                    <w:t>套</w:t>
                  </w:r>
                  <w:r>
                    <w:rPr>
                      <w:b/>
                      <w:szCs w:val="21"/>
                    </w:rPr>
                    <w:t>/a）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4" w:hRule="atLeast"/>
                <w:tblHeader/>
                <w:jc w:val="center"/>
              </w:trPr>
              <w:tc>
                <w:tcPr>
                  <w:tcW w:w="411" w:type="pct"/>
                  <w:noWrap w:val="0"/>
                  <w:vAlign w:val="center"/>
                </w:tcPr>
                <w:p>
                  <w:pPr>
                    <w:jc w:val="center"/>
                    <w:rPr>
                      <w:bCs/>
                      <w:szCs w:val="21"/>
                    </w:rPr>
                  </w:pPr>
                  <w:r>
                    <w:rPr>
                      <w:bCs/>
                      <w:szCs w:val="21"/>
                    </w:rPr>
                    <w:t>1</w:t>
                  </w:r>
                </w:p>
              </w:tc>
              <w:tc>
                <w:tcPr>
                  <w:tcW w:w="1856" w:type="dxa"/>
                  <w:noWrap w:val="0"/>
                  <w:vAlign w:val="center"/>
                </w:tcPr>
                <w:p>
                  <w:pPr>
                    <w:topLinePunct/>
                    <w:contextualSpacing/>
                    <w:jc w:val="center"/>
                    <w:textAlignment w:val="center"/>
                    <w:rPr>
                      <w:rFonts w:hint="eastAsia"/>
                      <w:szCs w:val="21"/>
                    </w:rPr>
                  </w:pPr>
                  <w:r>
                    <w:rPr>
                      <w:rFonts w:hint="eastAsia"/>
                      <w:color w:val="000000"/>
                      <w:szCs w:val="21"/>
                    </w:rPr>
                    <w:t>实木楼梯</w:t>
                  </w:r>
                </w:p>
              </w:tc>
              <w:tc>
                <w:tcPr>
                  <w:tcW w:w="3199" w:type="dxa"/>
                  <w:noWrap w:val="0"/>
                  <w:vAlign w:val="center"/>
                </w:tcPr>
                <w:p>
                  <w:pPr>
                    <w:jc w:val="center"/>
                    <w:rPr>
                      <w:szCs w:val="21"/>
                    </w:rPr>
                  </w:pPr>
                  <w:r>
                    <w:rPr>
                      <w:rFonts w:hint="eastAsia"/>
                      <w:color w:val="000000"/>
                      <w:szCs w:val="21"/>
                    </w:rPr>
                    <w:t>200</w:t>
                  </w:r>
                </w:p>
              </w:tc>
              <w:tc>
                <w:tcPr>
                  <w:tcW w:w="3280" w:type="dxa"/>
                  <w:noWrap w:val="0"/>
                  <w:vAlign w:val="center"/>
                </w:tcPr>
                <w:p>
                  <w:pPr>
                    <w:jc w:val="center"/>
                    <w:rPr>
                      <w:szCs w:val="21"/>
                    </w:rPr>
                  </w:pPr>
                  <w:r>
                    <w:rPr>
                      <w:rFonts w:hint="eastAsia"/>
                      <w:color w:val="000000"/>
                      <w:szCs w:val="21"/>
                    </w:rP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4" w:hRule="atLeast"/>
                <w:tblHeader/>
                <w:jc w:val="center"/>
              </w:trPr>
              <w:tc>
                <w:tcPr>
                  <w:tcW w:w="411" w:type="pct"/>
                  <w:noWrap w:val="0"/>
                  <w:vAlign w:val="center"/>
                </w:tcPr>
                <w:p>
                  <w:pPr>
                    <w:jc w:val="center"/>
                    <w:rPr>
                      <w:rFonts w:hint="eastAsia"/>
                      <w:bCs/>
                      <w:szCs w:val="21"/>
                    </w:rPr>
                  </w:pPr>
                  <w:r>
                    <w:rPr>
                      <w:rFonts w:hint="eastAsia"/>
                      <w:bCs/>
                      <w:szCs w:val="21"/>
                    </w:rPr>
                    <w:t>2</w:t>
                  </w:r>
                </w:p>
              </w:tc>
              <w:tc>
                <w:tcPr>
                  <w:tcW w:w="1856" w:type="dxa"/>
                  <w:noWrap w:val="0"/>
                  <w:vAlign w:val="center"/>
                </w:tcPr>
                <w:p>
                  <w:pPr>
                    <w:topLinePunct/>
                    <w:contextualSpacing/>
                    <w:jc w:val="center"/>
                    <w:textAlignment w:val="center"/>
                    <w:rPr>
                      <w:rFonts w:hint="eastAsia"/>
                      <w:szCs w:val="21"/>
                    </w:rPr>
                  </w:pPr>
                  <w:r>
                    <w:rPr>
                      <w:rFonts w:hint="eastAsia"/>
                      <w:color w:val="000000"/>
                      <w:szCs w:val="21"/>
                    </w:rPr>
                    <w:t>实木护栏</w:t>
                  </w:r>
                </w:p>
              </w:tc>
              <w:tc>
                <w:tcPr>
                  <w:tcW w:w="3199" w:type="dxa"/>
                  <w:noWrap w:val="0"/>
                  <w:vAlign w:val="center"/>
                </w:tcPr>
                <w:p>
                  <w:pPr>
                    <w:jc w:val="center"/>
                    <w:rPr>
                      <w:szCs w:val="21"/>
                    </w:rPr>
                  </w:pPr>
                  <w:r>
                    <w:rPr>
                      <w:rFonts w:hint="eastAsia"/>
                      <w:color w:val="000000"/>
                      <w:szCs w:val="21"/>
                    </w:rPr>
                    <w:t>150</w:t>
                  </w:r>
                </w:p>
              </w:tc>
              <w:tc>
                <w:tcPr>
                  <w:tcW w:w="3280" w:type="dxa"/>
                  <w:noWrap w:val="0"/>
                  <w:vAlign w:val="center"/>
                </w:tcPr>
                <w:p>
                  <w:pPr>
                    <w:jc w:val="center"/>
                    <w:rPr>
                      <w:szCs w:val="21"/>
                    </w:rPr>
                  </w:pPr>
                  <w:r>
                    <w:rPr>
                      <w:rFonts w:hint="eastAsia"/>
                      <w:color w:val="000000"/>
                      <w:szCs w:val="21"/>
                    </w:rP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4" w:hRule="atLeast"/>
                <w:tblHeader/>
                <w:jc w:val="center"/>
              </w:trPr>
              <w:tc>
                <w:tcPr>
                  <w:tcW w:w="411" w:type="pct"/>
                  <w:noWrap w:val="0"/>
                  <w:vAlign w:val="center"/>
                </w:tcPr>
                <w:p>
                  <w:pPr>
                    <w:jc w:val="center"/>
                    <w:rPr>
                      <w:rFonts w:hint="eastAsia"/>
                      <w:bCs/>
                      <w:szCs w:val="21"/>
                    </w:rPr>
                  </w:pPr>
                  <w:r>
                    <w:rPr>
                      <w:rFonts w:hint="eastAsia"/>
                      <w:bCs/>
                      <w:szCs w:val="21"/>
                    </w:rPr>
                    <w:t>3</w:t>
                  </w:r>
                </w:p>
              </w:tc>
              <w:tc>
                <w:tcPr>
                  <w:tcW w:w="1856" w:type="dxa"/>
                  <w:noWrap w:val="0"/>
                  <w:vAlign w:val="center"/>
                </w:tcPr>
                <w:p>
                  <w:pPr>
                    <w:topLinePunct/>
                    <w:contextualSpacing/>
                    <w:jc w:val="center"/>
                    <w:textAlignment w:val="center"/>
                    <w:rPr>
                      <w:rFonts w:hint="eastAsia"/>
                      <w:szCs w:val="21"/>
                    </w:rPr>
                  </w:pPr>
                  <w:r>
                    <w:rPr>
                      <w:rFonts w:hint="eastAsia"/>
                      <w:color w:val="000000"/>
                      <w:szCs w:val="21"/>
                    </w:rPr>
                    <w:t>配套家具</w:t>
                  </w:r>
                </w:p>
              </w:tc>
              <w:tc>
                <w:tcPr>
                  <w:tcW w:w="3199" w:type="dxa"/>
                  <w:noWrap w:val="0"/>
                  <w:vAlign w:val="center"/>
                </w:tcPr>
                <w:p>
                  <w:pPr>
                    <w:jc w:val="center"/>
                    <w:rPr>
                      <w:szCs w:val="21"/>
                    </w:rPr>
                  </w:pPr>
                  <w:r>
                    <w:rPr>
                      <w:rFonts w:hint="eastAsia"/>
                      <w:color w:val="000000"/>
                      <w:szCs w:val="21"/>
                    </w:rPr>
                    <w:t>80</w:t>
                  </w:r>
                </w:p>
              </w:tc>
              <w:tc>
                <w:tcPr>
                  <w:tcW w:w="3280" w:type="dxa"/>
                  <w:noWrap w:val="0"/>
                  <w:vAlign w:val="center"/>
                </w:tcPr>
                <w:p>
                  <w:pPr>
                    <w:jc w:val="center"/>
                    <w:rPr>
                      <w:szCs w:val="21"/>
                    </w:rPr>
                  </w:pPr>
                  <w:r>
                    <w:rPr>
                      <w:rFonts w:hint="eastAsia"/>
                      <w:color w:val="000000"/>
                      <w:szCs w:val="21"/>
                    </w:rPr>
                    <w:t>80</w:t>
                  </w:r>
                </w:p>
              </w:tc>
            </w:tr>
          </w:tbl>
          <w:p>
            <w:pPr>
              <w:spacing w:line="360" w:lineRule="auto"/>
              <w:ind w:firstLine="482" w:firstLineChars="200"/>
              <w:rPr>
                <w:rFonts w:cs="Times New Roman"/>
                <w:b/>
                <w:bCs/>
                <w:color w:val="000000" w:themeColor="text1"/>
                <w:sz w:val="24"/>
                <w14:textFill>
                  <w14:solidFill>
                    <w14:schemeClr w14:val="tx1"/>
                  </w14:solidFill>
                </w14:textFill>
              </w:rPr>
            </w:pPr>
            <w:r>
              <w:rPr>
                <w:rFonts w:cs="Times New Roman"/>
                <w:b/>
                <w:bCs/>
                <w:color w:val="000000" w:themeColor="text1"/>
                <w:sz w:val="24"/>
                <w14:textFill>
                  <w14:solidFill>
                    <w14:schemeClr w14:val="tx1"/>
                  </w14:solidFill>
                </w14:textFill>
              </w:rPr>
              <w:t>（</w:t>
            </w:r>
            <w:r>
              <w:rPr>
                <w:rFonts w:hint="eastAsia" w:cs="Times New Roman"/>
                <w:b/>
                <w:bCs/>
                <w:color w:val="000000" w:themeColor="text1"/>
                <w:sz w:val="24"/>
                <w14:textFill>
                  <w14:solidFill>
                    <w14:schemeClr w14:val="tx1"/>
                  </w14:solidFill>
                </w14:textFill>
              </w:rPr>
              <w:t>4</w:t>
            </w:r>
            <w:r>
              <w:rPr>
                <w:rFonts w:cs="Times New Roman"/>
                <w:b/>
                <w:bCs/>
                <w:color w:val="000000" w:themeColor="text1"/>
                <w:sz w:val="24"/>
                <w14:textFill>
                  <w14:solidFill>
                    <w14:schemeClr w14:val="tx1"/>
                  </w14:solidFill>
                </w14:textFill>
              </w:rPr>
              <w:t>）生产设备</w:t>
            </w:r>
          </w:p>
          <w:p>
            <w:pPr>
              <w:snapToGrid w:val="0"/>
              <w:spacing w:afterLines="30" w:line="240" w:lineRule="auto"/>
              <w:ind w:firstLine="482"/>
              <w:jc w:val="center"/>
              <w:rPr>
                <w:b/>
                <w:bCs/>
                <w:color w:val="000000"/>
                <w:sz w:val="24"/>
              </w:rPr>
            </w:pPr>
            <w:r>
              <w:rPr>
                <w:b/>
                <w:bCs/>
                <w:color w:val="000000"/>
                <w:sz w:val="24"/>
              </w:rPr>
              <w:t>表</w:t>
            </w:r>
            <w:r>
              <w:rPr>
                <w:rFonts w:hint="eastAsia"/>
                <w:b/>
                <w:bCs/>
                <w:color w:val="000000"/>
                <w:sz w:val="24"/>
              </w:rPr>
              <w:t>2.</w:t>
            </w:r>
            <w:r>
              <w:rPr>
                <w:rFonts w:hint="eastAsia"/>
                <w:b/>
                <w:bCs/>
                <w:color w:val="000000"/>
                <w:sz w:val="24"/>
                <w:lang w:val="en-US" w:eastAsia="zh-CN"/>
              </w:rPr>
              <w:t>4</w:t>
            </w:r>
            <w:r>
              <w:rPr>
                <w:rFonts w:hint="eastAsia"/>
                <w:b/>
                <w:bCs/>
                <w:color w:val="000000"/>
                <w:sz w:val="24"/>
              </w:rPr>
              <w:t xml:space="preserve"> </w:t>
            </w:r>
            <w:r>
              <w:rPr>
                <w:b/>
                <w:bCs/>
                <w:color w:val="000000"/>
                <w:sz w:val="24"/>
              </w:rPr>
              <w:t>主要设备情况一览表</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2792"/>
              <w:gridCol w:w="2506"/>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1" w:type="pct"/>
                  <w:noWrap w:val="0"/>
                  <w:vAlign w:val="center"/>
                </w:tcPr>
                <w:p>
                  <w:pPr>
                    <w:jc w:val="center"/>
                    <w:rPr>
                      <w:bCs/>
                      <w:szCs w:val="21"/>
                    </w:rPr>
                  </w:pPr>
                  <w:r>
                    <w:rPr>
                      <w:bCs/>
                      <w:szCs w:val="21"/>
                    </w:rPr>
                    <w:t>序号</w:t>
                  </w:r>
                </w:p>
              </w:tc>
              <w:tc>
                <w:tcPr>
                  <w:tcW w:w="1533" w:type="pct"/>
                  <w:noWrap w:val="0"/>
                  <w:vAlign w:val="center"/>
                </w:tcPr>
                <w:p>
                  <w:pPr>
                    <w:jc w:val="center"/>
                    <w:rPr>
                      <w:bCs/>
                      <w:szCs w:val="21"/>
                    </w:rPr>
                  </w:pPr>
                  <w:r>
                    <w:rPr>
                      <w:bCs/>
                      <w:szCs w:val="21"/>
                    </w:rPr>
                    <w:t>设备名称</w:t>
                  </w:r>
                </w:p>
              </w:tc>
              <w:tc>
                <w:tcPr>
                  <w:tcW w:w="1376" w:type="pct"/>
                  <w:noWrap w:val="0"/>
                  <w:vAlign w:val="center"/>
                </w:tcPr>
                <w:p>
                  <w:pPr>
                    <w:jc w:val="center"/>
                    <w:rPr>
                      <w:bCs/>
                      <w:szCs w:val="21"/>
                    </w:rPr>
                  </w:pPr>
                  <w:r>
                    <w:rPr>
                      <w:rFonts w:hint="eastAsia"/>
                      <w:bCs/>
                      <w:szCs w:val="21"/>
                      <w:lang w:eastAsia="zh-CN"/>
                    </w:rPr>
                    <w:t>环评申报</w:t>
                  </w:r>
                  <w:r>
                    <w:rPr>
                      <w:bCs/>
                      <w:szCs w:val="21"/>
                    </w:rPr>
                    <w:t>数量</w:t>
                  </w:r>
                </w:p>
              </w:tc>
              <w:tc>
                <w:tcPr>
                  <w:tcW w:w="1548" w:type="pct"/>
                  <w:noWrap w:val="0"/>
                  <w:vAlign w:val="top"/>
                </w:tcPr>
                <w:p>
                  <w:pPr>
                    <w:jc w:val="center"/>
                    <w:rPr>
                      <w:rFonts w:hint="eastAsia" w:eastAsiaTheme="minorEastAsia"/>
                      <w:bCs/>
                      <w:szCs w:val="21"/>
                      <w:lang w:eastAsia="zh-CN"/>
                    </w:rPr>
                  </w:pPr>
                  <w:r>
                    <w:rPr>
                      <w:rFonts w:hint="eastAsia"/>
                      <w:bCs/>
                      <w:szCs w:val="21"/>
                      <w:lang w:eastAsia="zh-CN"/>
                    </w:rPr>
                    <w:t>实际建设数量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541" w:type="pct"/>
                  <w:noWrap w:val="0"/>
                  <w:vAlign w:val="center"/>
                </w:tcPr>
                <w:p>
                  <w:pPr>
                    <w:widowControl/>
                    <w:jc w:val="center"/>
                    <w:rPr>
                      <w:bCs/>
                      <w:kern w:val="0"/>
                      <w:szCs w:val="21"/>
                    </w:rPr>
                  </w:pPr>
                  <w:r>
                    <w:rPr>
                      <w:rFonts w:hint="eastAsia"/>
                      <w:bCs/>
                      <w:kern w:val="0"/>
                      <w:szCs w:val="21"/>
                    </w:rPr>
                    <w:t>1</w:t>
                  </w:r>
                </w:p>
              </w:tc>
              <w:tc>
                <w:tcPr>
                  <w:tcW w:w="1533" w:type="pct"/>
                  <w:noWrap w:val="0"/>
                  <w:vAlign w:val="center"/>
                </w:tcPr>
                <w:p>
                  <w:pPr>
                    <w:widowControl/>
                    <w:jc w:val="center"/>
                    <w:rPr>
                      <w:rFonts w:hint="eastAsia"/>
                      <w:bCs/>
                      <w:szCs w:val="21"/>
                    </w:rPr>
                  </w:pPr>
                  <w:r>
                    <w:rPr>
                      <w:rFonts w:hint="eastAsia"/>
                      <w:bCs/>
                      <w:szCs w:val="21"/>
                    </w:rPr>
                    <w:t>推台锯</w:t>
                  </w:r>
                </w:p>
              </w:tc>
              <w:tc>
                <w:tcPr>
                  <w:tcW w:w="2506" w:type="dxa"/>
                  <w:noWrap w:val="0"/>
                  <w:vAlign w:val="center"/>
                </w:tcPr>
                <w:p>
                  <w:pPr>
                    <w:jc w:val="center"/>
                    <w:rPr>
                      <w:rFonts w:hint="eastAsia"/>
                      <w:bCs/>
                      <w:szCs w:val="21"/>
                    </w:rPr>
                  </w:pPr>
                  <w:r>
                    <w:rPr>
                      <w:rFonts w:hint="eastAsia"/>
                      <w:bCs/>
                      <w:kern w:val="0"/>
                      <w:szCs w:val="21"/>
                      <w:lang w:val="en-US" w:eastAsia="zh-CN"/>
                    </w:rPr>
                    <w:t>4</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4</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41" w:type="pct"/>
                  <w:noWrap w:val="0"/>
                  <w:vAlign w:val="center"/>
                </w:tcPr>
                <w:p>
                  <w:pPr>
                    <w:widowControl/>
                    <w:jc w:val="center"/>
                    <w:rPr>
                      <w:bCs/>
                      <w:kern w:val="0"/>
                      <w:szCs w:val="21"/>
                    </w:rPr>
                  </w:pPr>
                  <w:r>
                    <w:rPr>
                      <w:rFonts w:hint="eastAsia"/>
                      <w:bCs/>
                      <w:kern w:val="0"/>
                      <w:szCs w:val="21"/>
                    </w:rPr>
                    <w:t>2</w:t>
                  </w:r>
                </w:p>
              </w:tc>
              <w:tc>
                <w:tcPr>
                  <w:tcW w:w="1533" w:type="pct"/>
                  <w:noWrap w:val="0"/>
                  <w:vAlign w:val="center"/>
                </w:tcPr>
                <w:p>
                  <w:pPr>
                    <w:widowControl/>
                    <w:jc w:val="center"/>
                    <w:rPr>
                      <w:rFonts w:hint="eastAsia"/>
                      <w:bCs/>
                      <w:szCs w:val="21"/>
                    </w:rPr>
                  </w:pPr>
                  <w:r>
                    <w:rPr>
                      <w:rFonts w:hint="eastAsia"/>
                      <w:bCs/>
                      <w:szCs w:val="21"/>
                    </w:rPr>
                    <w:t>单片锯</w:t>
                  </w:r>
                </w:p>
              </w:tc>
              <w:tc>
                <w:tcPr>
                  <w:tcW w:w="2506" w:type="dxa"/>
                  <w:noWrap w:val="0"/>
                  <w:vAlign w:val="center"/>
                </w:tcPr>
                <w:p>
                  <w:pPr>
                    <w:jc w:val="center"/>
                    <w:rPr>
                      <w:bCs/>
                      <w:szCs w:val="21"/>
                    </w:rPr>
                  </w:pPr>
                  <w:r>
                    <w:rPr>
                      <w:rFonts w:hint="eastAsia"/>
                      <w:bCs/>
                      <w:kern w:val="0"/>
                      <w:szCs w:val="21"/>
                      <w:lang w:val="en-US" w:eastAsia="zh-CN"/>
                    </w:rPr>
                    <w:t>1</w:t>
                  </w:r>
                  <w:r>
                    <w:rPr>
                      <w:rFonts w:hint="eastAsia"/>
                      <w:bCs/>
                      <w:kern w:val="0"/>
                      <w:szCs w:val="21"/>
                    </w:rPr>
                    <w:t>台</w:t>
                  </w:r>
                </w:p>
              </w:tc>
              <w:tc>
                <w:tcPr>
                  <w:tcW w:w="1548" w:type="pct"/>
                  <w:noWrap w:val="0"/>
                  <w:vAlign w:val="center"/>
                </w:tcPr>
                <w:p>
                  <w:pPr>
                    <w:jc w:val="center"/>
                    <w:rPr>
                      <w:bCs/>
                      <w:kern w:val="0"/>
                      <w:szCs w:val="21"/>
                    </w:rPr>
                  </w:pPr>
                  <w:r>
                    <w:rPr>
                      <w:rFonts w:hint="eastAsia"/>
                      <w:bCs/>
                      <w:kern w:val="0"/>
                      <w:szCs w:val="21"/>
                      <w:lang w:val="en-US" w:eastAsia="zh-CN"/>
                    </w:rPr>
                    <w:t>1</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41" w:type="pct"/>
                  <w:noWrap w:val="0"/>
                  <w:vAlign w:val="center"/>
                </w:tcPr>
                <w:p>
                  <w:pPr>
                    <w:widowControl/>
                    <w:jc w:val="center"/>
                    <w:rPr>
                      <w:rFonts w:hint="eastAsia"/>
                      <w:bCs/>
                      <w:kern w:val="0"/>
                      <w:szCs w:val="21"/>
                    </w:rPr>
                  </w:pPr>
                  <w:r>
                    <w:rPr>
                      <w:rFonts w:hint="eastAsia"/>
                      <w:bCs/>
                      <w:kern w:val="0"/>
                      <w:szCs w:val="21"/>
                    </w:rPr>
                    <w:t>3</w:t>
                  </w:r>
                </w:p>
              </w:tc>
              <w:tc>
                <w:tcPr>
                  <w:tcW w:w="1533" w:type="pct"/>
                  <w:noWrap w:val="0"/>
                  <w:vAlign w:val="center"/>
                </w:tcPr>
                <w:p>
                  <w:pPr>
                    <w:widowControl/>
                    <w:jc w:val="center"/>
                    <w:rPr>
                      <w:rFonts w:hint="eastAsia"/>
                      <w:bCs/>
                      <w:szCs w:val="21"/>
                    </w:rPr>
                  </w:pPr>
                  <w:r>
                    <w:rPr>
                      <w:rFonts w:hint="eastAsia"/>
                      <w:bCs/>
                      <w:szCs w:val="21"/>
                    </w:rPr>
                    <w:t>带锯</w:t>
                  </w:r>
                </w:p>
              </w:tc>
              <w:tc>
                <w:tcPr>
                  <w:tcW w:w="2506" w:type="dxa"/>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rFonts w:hint="eastAsia"/>
                      <w:bCs/>
                      <w:kern w:val="0"/>
                      <w:szCs w:val="21"/>
                    </w:rPr>
                  </w:pPr>
                  <w:r>
                    <w:rPr>
                      <w:rFonts w:hint="eastAsia"/>
                      <w:bCs/>
                      <w:kern w:val="0"/>
                      <w:szCs w:val="21"/>
                    </w:rPr>
                    <w:t>4</w:t>
                  </w:r>
                </w:p>
              </w:tc>
              <w:tc>
                <w:tcPr>
                  <w:tcW w:w="1533" w:type="pct"/>
                  <w:noWrap w:val="0"/>
                  <w:vAlign w:val="center"/>
                </w:tcPr>
                <w:p>
                  <w:pPr>
                    <w:widowControl/>
                    <w:jc w:val="center"/>
                    <w:rPr>
                      <w:rFonts w:hint="eastAsia"/>
                      <w:bCs/>
                      <w:szCs w:val="21"/>
                    </w:rPr>
                  </w:pPr>
                  <w:r>
                    <w:rPr>
                      <w:rFonts w:hint="eastAsia"/>
                      <w:bCs/>
                      <w:szCs w:val="21"/>
                    </w:rPr>
                    <w:t>拼板机</w:t>
                  </w:r>
                </w:p>
              </w:tc>
              <w:tc>
                <w:tcPr>
                  <w:tcW w:w="2506" w:type="dxa"/>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1" w:type="pct"/>
                  <w:noWrap w:val="0"/>
                  <w:vAlign w:val="center"/>
                </w:tcPr>
                <w:p>
                  <w:pPr>
                    <w:widowControl/>
                    <w:jc w:val="center"/>
                    <w:rPr>
                      <w:rFonts w:hint="eastAsia"/>
                      <w:bCs/>
                      <w:kern w:val="0"/>
                      <w:szCs w:val="21"/>
                    </w:rPr>
                  </w:pPr>
                  <w:r>
                    <w:rPr>
                      <w:rFonts w:hint="eastAsia"/>
                      <w:bCs/>
                      <w:kern w:val="0"/>
                      <w:szCs w:val="21"/>
                    </w:rPr>
                    <w:t>5</w:t>
                  </w:r>
                </w:p>
              </w:tc>
              <w:tc>
                <w:tcPr>
                  <w:tcW w:w="1533" w:type="pct"/>
                  <w:noWrap w:val="0"/>
                  <w:vAlign w:val="center"/>
                </w:tcPr>
                <w:p>
                  <w:pPr>
                    <w:widowControl/>
                    <w:jc w:val="center"/>
                    <w:rPr>
                      <w:rFonts w:hint="eastAsia"/>
                      <w:bCs/>
                      <w:szCs w:val="21"/>
                    </w:rPr>
                  </w:pPr>
                  <w:r>
                    <w:rPr>
                      <w:rFonts w:hint="eastAsia"/>
                      <w:bCs/>
                      <w:szCs w:val="21"/>
                    </w:rPr>
                    <w:t>平刨机</w:t>
                  </w:r>
                </w:p>
              </w:tc>
              <w:tc>
                <w:tcPr>
                  <w:tcW w:w="2506" w:type="dxa"/>
                  <w:noWrap w:val="0"/>
                  <w:vAlign w:val="center"/>
                </w:tcPr>
                <w:p>
                  <w:pPr>
                    <w:jc w:val="center"/>
                    <w:rPr>
                      <w:bCs/>
                      <w:szCs w:val="21"/>
                      <w:vertAlign w:val="superscript"/>
                    </w:rPr>
                  </w:pPr>
                  <w:r>
                    <w:rPr>
                      <w:rFonts w:hint="eastAsia"/>
                      <w:bCs/>
                      <w:kern w:val="0"/>
                      <w:szCs w:val="21"/>
                      <w:lang w:val="en-US" w:eastAsia="zh-CN"/>
                    </w:rPr>
                    <w:t>1</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rFonts w:hint="eastAsia"/>
                      <w:bCs/>
                      <w:kern w:val="0"/>
                      <w:szCs w:val="21"/>
                    </w:rPr>
                  </w:pPr>
                  <w:r>
                    <w:rPr>
                      <w:rFonts w:hint="eastAsia"/>
                      <w:bCs/>
                      <w:kern w:val="0"/>
                      <w:szCs w:val="21"/>
                    </w:rPr>
                    <w:t>6</w:t>
                  </w:r>
                </w:p>
              </w:tc>
              <w:tc>
                <w:tcPr>
                  <w:tcW w:w="1533" w:type="pct"/>
                  <w:noWrap w:val="0"/>
                  <w:vAlign w:val="center"/>
                </w:tcPr>
                <w:p>
                  <w:pPr>
                    <w:widowControl/>
                    <w:jc w:val="center"/>
                    <w:rPr>
                      <w:rFonts w:hint="eastAsia"/>
                      <w:kern w:val="0"/>
                      <w:szCs w:val="21"/>
                    </w:rPr>
                  </w:pPr>
                  <w:r>
                    <w:rPr>
                      <w:rFonts w:hint="eastAsia"/>
                      <w:bCs/>
                      <w:szCs w:val="21"/>
                    </w:rPr>
                    <w:t>线条机</w:t>
                  </w:r>
                </w:p>
              </w:tc>
              <w:tc>
                <w:tcPr>
                  <w:tcW w:w="2506" w:type="dxa"/>
                  <w:noWrap w:val="0"/>
                  <w:vAlign w:val="center"/>
                </w:tcPr>
                <w:p>
                  <w:pPr>
                    <w:jc w:val="center"/>
                    <w:rPr>
                      <w:rFonts w:hint="eastAsia"/>
                      <w:kern w:val="0"/>
                      <w:szCs w:val="21"/>
                    </w:rPr>
                  </w:pPr>
                  <w:r>
                    <w:rPr>
                      <w:rFonts w:hint="eastAsia"/>
                      <w:bCs/>
                      <w:kern w:val="0"/>
                      <w:szCs w:val="21"/>
                      <w:lang w:val="en-US" w:eastAsia="zh-CN"/>
                    </w:rPr>
                    <w:t>1</w:t>
                  </w:r>
                  <w:r>
                    <w:rPr>
                      <w:rFonts w:hint="eastAsia"/>
                      <w:bCs/>
                      <w:kern w:val="0"/>
                      <w:szCs w:val="21"/>
                    </w:rPr>
                    <w:t>台</w:t>
                  </w:r>
                </w:p>
              </w:tc>
              <w:tc>
                <w:tcPr>
                  <w:tcW w:w="1548" w:type="pct"/>
                  <w:noWrap w:val="0"/>
                  <w:vAlign w:val="center"/>
                </w:tcPr>
                <w:p>
                  <w:pPr>
                    <w:jc w:val="center"/>
                    <w:rPr>
                      <w:bCs/>
                      <w:kern w:val="0"/>
                      <w:szCs w:val="21"/>
                    </w:rPr>
                  </w:pPr>
                  <w:r>
                    <w:rPr>
                      <w:rFonts w:hint="eastAsia"/>
                      <w:bCs/>
                      <w:kern w:val="0"/>
                      <w:szCs w:val="21"/>
                      <w:lang w:val="en-US" w:eastAsia="zh-CN"/>
                    </w:rPr>
                    <w:t>1</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rFonts w:hint="eastAsia"/>
                      <w:bCs/>
                      <w:kern w:val="0"/>
                      <w:szCs w:val="21"/>
                    </w:rPr>
                  </w:pPr>
                  <w:r>
                    <w:rPr>
                      <w:rFonts w:hint="eastAsia"/>
                      <w:bCs/>
                      <w:kern w:val="0"/>
                      <w:szCs w:val="21"/>
                    </w:rPr>
                    <w:t>7</w:t>
                  </w:r>
                </w:p>
              </w:tc>
              <w:tc>
                <w:tcPr>
                  <w:tcW w:w="1533" w:type="pct"/>
                  <w:noWrap w:val="0"/>
                  <w:vAlign w:val="center"/>
                </w:tcPr>
                <w:p>
                  <w:pPr>
                    <w:widowControl/>
                    <w:jc w:val="center"/>
                    <w:rPr>
                      <w:rFonts w:hint="eastAsia"/>
                      <w:kern w:val="0"/>
                      <w:szCs w:val="21"/>
                    </w:rPr>
                  </w:pPr>
                  <w:r>
                    <w:rPr>
                      <w:rFonts w:hint="eastAsia"/>
                      <w:bCs/>
                      <w:szCs w:val="21"/>
                    </w:rPr>
                    <w:t>立铣机</w:t>
                  </w:r>
                </w:p>
              </w:tc>
              <w:tc>
                <w:tcPr>
                  <w:tcW w:w="2506" w:type="dxa"/>
                  <w:noWrap w:val="0"/>
                  <w:vAlign w:val="center"/>
                </w:tcPr>
                <w:p>
                  <w:pPr>
                    <w:jc w:val="center"/>
                    <w:rPr>
                      <w:rFonts w:hint="eastAsia"/>
                      <w:kern w:val="0"/>
                      <w:szCs w:val="21"/>
                    </w:rPr>
                  </w:pPr>
                  <w:r>
                    <w:rPr>
                      <w:rFonts w:hint="eastAsia"/>
                      <w:bCs/>
                      <w:kern w:val="0"/>
                      <w:szCs w:val="21"/>
                      <w:lang w:val="en-US" w:eastAsia="zh-CN"/>
                    </w:rPr>
                    <w:t>1</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541" w:type="pct"/>
                  <w:noWrap w:val="0"/>
                  <w:vAlign w:val="center"/>
                </w:tcPr>
                <w:p>
                  <w:pPr>
                    <w:widowControl/>
                    <w:jc w:val="center"/>
                    <w:rPr>
                      <w:rFonts w:hint="eastAsia"/>
                      <w:bCs/>
                      <w:kern w:val="0"/>
                      <w:szCs w:val="21"/>
                    </w:rPr>
                  </w:pPr>
                  <w:r>
                    <w:rPr>
                      <w:rFonts w:hint="eastAsia"/>
                      <w:bCs/>
                      <w:kern w:val="0"/>
                      <w:szCs w:val="21"/>
                    </w:rPr>
                    <w:t>8</w:t>
                  </w:r>
                </w:p>
              </w:tc>
              <w:tc>
                <w:tcPr>
                  <w:tcW w:w="1533" w:type="pct"/>
                  <w:noWrap w:val="0"/>
                  <w:vAlign w:val="center"/>
                </w:tcPr>
                <w:p>
                  <w:pPr>
                    <w:widowControl/>
                    <w:jc w:val="center"/>
                    <w:rPr>
                      <w:rFonts w:hint="eastAsia"/>
                      <w:kern w:val="0"/>
                      <w:szCs w:val="21"/>
                    </w:rPr>
                  </w:pPr>
                  <w:r>
                    <w:rPr>
                      <w:rFonts w:hint="eastAsia"/>
                      <w:bCs/>
                      <w:szCs w:val="21"/>
                    </w:rPr>
                    <w:t>打眼机</w:t>
                  </w:r>
                </w:p>
              </w:tc>
              <w:tc>
                <w:tcPr>
                  <w:tcW w:w="2506" w:type="dxa"/>
                  <w:noWrap w:val="0"/>
                  <w:vAlign w:val="center"/>
                </w:tcPr>
                <w:p>
                  <w:pPr>
                    <w:jc w:val="center"/>
                    <w:rPr>
                      <w:rFonts w:hint="eastAsia"/>
                      <w:kern w:val="0"/>
                      <w:szCs w:val="21"/>
                    </w:rPr>
                  </w:pPr>
                  <w:r>
                    <w:rPr>
                      <w:rFonts w:hint="eastAsia"/>
                      <w:bCs/>
                      <w:kern w:val="0"/>
                      <w:szCs w:val="21"/>
                      <w:lang w:val="en-US" w:eastAsia="zh-CN"/>
                    </w:rPr>
                    <w:t>2</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2</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rFonts w:hint="eastAsia"/>
                      <w:bCs/>
                      <w:kern w:val="0"/>
                      <w:szCs w:val="21"/>
                    </w:rPr>
                  </w:pPr>
                  <w:r>
                    <w:rPr>
                      <w:rFonts w:hint="eastAsia"/>
                      <w:bCs/>
                      <w:kern w:val="0"/>
                      <w:szCs w:val="21"/>
                    </w:rPr>
                    <w:t>9</w:t>
                  </w:r>
                </w:p>
              </w:tc>
              <w:tc>
                <w:tcPr>
                  <w:tcW w:w="1533" w:type="pct"/>
                  <w:noWrap w:val="0"/>
                  <w:vAlign w:val="center"/>
                </w:tcPr>
                <w:p>
                  <w:pPr>
                    <w:widowControl/>
                    <w:jc w:val="center"/>
                    <w:rPr>
                      <w:rFonts w:hint="eastAsia"/>
                      <w:bCs/>
                      <w:szCs w:val="21"/>
                    </w:rPr>
                  </w:pPr>
                  <w:r>
                    <w:rPr>
                      <w:rFonts w:hint="eastAsia"/>
                      <w:bCs/>
                      <w:szCs w:val="21"/>
                    </w:rPr>
                    <w:t>砂光机</w:t>
                  </w:r>
                </w:p>
              </w:tc>
              <w:tc>
                <w:tcPr>
                  <w:tcW w:w="2506" w:type="dxa"/>
                  <w:noWrap w:val="0"/>
                  <w:vAlign w:val="center"/>
                </w:tcPr>
                <w:p>
                  <w:pPr>
                    <w:jc w:val="center"/>
                    <w:rPr>
                      <w:rFonts w:hint="eastAsia"/>
                      <w:kern w:val="0"/>
                      <w:szCs w:val="21"/>
                    </w:rPr>
                  </w:pPr>
                  <w:r>
                    <w:rPr>
                      <w:rFonts w:hint="eastAsia"/>
                      <w:bCs/>
                      <w:kern w:val="0"/>
                      <w:szCs w:val="21"/>
                      <w:lang w:val="en-US" w:eastAsia="zh-CN"/>
                    </w:rPr>
                    <w:t>4</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4</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10</w:t>
                  </w:r>
                </w:p>
              </w:tc>
              <w:tc>
                <w:tcPr>
                  <w:tcW w:w="1533" w:type="pct"/>
                  <w:noWrap w:val="0"/>
                  <w:vAlign w:val="center"/>
                </w:tcPr>
                <w:p>
                  <w:pPr>
                    <w:widowControl/>
                    <w:jc w:val="center"/>
                    <w:rPr>
                      <w:rFonts w:hint="eastAsia"/>
                      <w:bCs/>
                      <w:szCs w:val="21"/>
                    </w:rPr>
                  </w:pPr>
                  <w:r>
                    <w:rPr>
                      <w:rFonts w:hint="eastAsia"/>
                      <w:bCs/>
                      <w:szCs w:val="21"/>
                    </w:rPr>
                    <w:t>双面刨</w:t>
                  </w:r>
                </w:p>
              </w:tc>
              <w:tc>
                <w:tcPr>
                  <w:tcW w:w="2506" w:type="dxa"/>
                  <w:noWrap w:val="0"/>
                  <w:vAlign w:val="center"/>
                </w:tcPr>
                <w:p>
                  <w:pPr>
                    <w:jc w:val="center"/>
                    <w:rPr>
                      <w:rFonts w:hint="eastAsia"/>
                      <w:kern w:val="0"/>
                      <w:szCs w:val="21"/>
                    </w:rPr>
                  </w:pPr>
                  <w:r>
                    <w:rPr>
                      <w:rFonts w:hint="eastAsia"/>
                      <w:bCs/>
                      <w:kern w:val="0"/>
                      <w:szCs w:val="21"/>
                      <w:lang w:val="en-US" w:eastAsia="zh-CN"/>
                    </w:rPr>
                    <w:t>1</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11</w:t>
                  </w:r>
                </w:p>
              </w:tc>
              <w:tc>
                <w:tcPr>
                  <w:tcW w:w="1533" w:type="pct"/>
                  <w:noWrap w:val="0"/>
                  <w:vAlign w:val="center"/>
                </w:tcPr>
                <w:p>
                  <w:pPr>
                    <w:widowControl/>
                    <w:jc w:val="center"/>
                    <w:rPr>
                      <w:rFonts w:hint="eastAsia"/>
                      <w:bCs/>
                      <w:szCs w:val="21"/>
                    </w:rPr>
                  </w:pPr>
                  <w:r>
                    <w:rPr>
                      <w:rFonts w:hint="eastAsia"/>
                      <w:bCs/>
                      <w:szCs w:val="21"/>
                    </w:rPr>
                    <w:t>冷压机</w:t>
                  </w:r>
                </w:p>
              </w:tc>
              <w:tc>
                <w:tcPr>
                  <w:tcW w:w="2506" w:type="dxa"/>
                  <w:noWrap w:val="0"/>
                  <w:vAlign w:val="center"/>
                </w:tcPr>
                <w:p>
                  <w:pPr>
                    <w:jc w:val="center"/>
                    <w:rPr>
                      <w:rFonts w:hint="eastAsia"/>
                      <w:kern w:val="0"/>
                      <w:szCs w:val="21"/>
                    </w:rPr>
                  </w:pPr>
                  <w:r>
                    <w:rPr>
                      <w:rFonts w:hint="eastAsia"/>
                      <w:bCs/>
                      <w:kern w:val="0"/>
                      <w:szCs w:val="21"/>
                      <w:lang w:val="en-US" w:eastAsia="zh-CN"/>
                    </w:rPr>
                    <w:t>2</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2</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12</w:t>
                  </w:r>
                </w:p>
              </w:tc>
              <w:tc>
                <w:tcPr>
                  <w:tcW w:w="1533" w:type="pct"/>
                  <w:noWrap w:val="0"/>
                  <w:vAlign w:val="center"/>
                </w:tcPr>
                <w:p>
                  <w:pPr>
                    <w:widowControl/>
                    <w:jc w:val="center"/>
                    <w:rPr>
                      <w:rFonts w:hint="eastAsia"/>
                      <w:bCs/>
                      <w:szCs w:val="21"/>
                    </w:rPr>
                  </w:pPr>
                  <w:r>
                    <w:rPr>
                      <w:rFonts w:hint="eastAsia"/>
                      <w:bCs/>
                      <w:szCs w:val="21"/>
                    </w:rPr>
                    <w:t>数控车床</w:t>
                  </w:r>
                </w:p>
              </w:tc>
              <w:tc>
                <w:tcPr>
                  <w:tcW w:w="2506" w:type="dxa"/>
                  <w:noWrap w:val="0"/>
                  <w:vAlign w:val="center"/>
                </w:tcPr>
                <w:p>
                  <w:pPr>
                    <w:jc w:val="center"/>
                    <w:rPr>
                      <w:rFonts w:hint="eastAsia"/>
                      <w:kern w:val="0"/>
                      <w:szCs w:val="21"/>
                    </w:rPr>
                  </w:pPr>
                  <w:r>
                    <w:rPr>
                      <w:rFonts w:hint="eastAsia"/>
                      <w:bCs/>
                      <w:kern w:val="0"/>
                      <w:szCs w:val="21"/>
                      <w:lang w:val="en-US" w:eastAsia="zh-CN"/>
                    </w:rPr>
                    <w:t>2</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2</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1" w:type="pct"/>
                  <w:noWrap w:val="0"/>
                  <w:vAlign w:val="center"/>
                </w:tcPr>
                <w:p>
                  <w:pPr>
                    <w:widowControl/>
                    <w:jc w:val="center"/>
                    <w:rPr>
                      <w:rFonts w:hint="eastAsia"/>
                      <w:bCs/>
                      <w:kern w:val="0"/>
                      <w:szCs w:val="21"/>
                    </w:rPr>
                  </w:pPr>
                  <w:r>
                    <w:rPr>
                      <w:rFonts w:hint="eastAsia"/>
                      <w:bCs/>
                      <w:kern w:val="0"/>
                      <w:szCs w:val="21"/>
                    </w:rPr>
                    <w:t>13</w:t>
                  </w:r>
                </w:p>
              </w:tc>
              <w:tc>
                <w:tcPr>
                  <w:tcW w:w="1533" w:type="pct"/>
                  <w:noWrap w:val="0"/>
                  <w:vAlign w:val="center"/>
                </w:tcPr>
                <w:p>
                  <w:pPr>
                    <w:widowControl/>
                    <w:jc w:val="center"/>
                    <w:rPr>
                      <w:rFonts w:hint="eastAsia"/>
                      <w:bCs/>
                      <w:szCs w:val="21"/>
                    </w:rPr>
                  </w:pPr>
                  <w:r>
                    <w:rPr>
                      <w:rFonts w:hint="eastAsia"/>
                      <w:bCs/>
                      <w:szCs w:val="21"/>
                    </w:rPr>
                    <w:t>无尘打磨机</w:t>
                  </w:r>
                </w:p>
              </w:tc>
              <w:tc>
                <w:tcPr>
                  <w:tcW w:w="2506" w:type="dxa"/>
                  <w:noWrap w:val="0"/>
                  <w:vAlign w:val="center"/>
                </w:tcPr>
                <w:p>
                  <w:pPr>
                    <w:jc w:val="center"/>
                    <w:rPr>
                      <w:rFonts w:hint="eastAsia"/>
                      <w:kern w:val="0"/>
                      <w:szCs w:val="21"/>
                    </w:rPr>
                  </w:pPr>
                  <w:r>
                    <w:rPr>
                      <w:rFonts w:hint="eastAsia"/>
                      <w:bCs/>
                      <w:kern w:val="0"/>
                      <w:szCs w:val="21"/>
                      <w:lang w:val="en-US" w:eastAsia="zh-CN"/>
                    </w:rPr>
                    <w:t>4</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4</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14</w:t>
                  </w:r>
                </w:p>
              </w:tc>
              <w:tc>
                <w:tcPr>
                  <w:tcW w:w="1533" w:type="pct"/>
                  <w:noWrap w:val="0"/>
                  <w:vAlign w:val="center"/>
                </w:tcPr>
                <w:p>
                  <w:pPr>
                    <w:widowControl/>
                    <w:jc w:val="center"/>
                    <w:rPr>
                      <w:rFonts w:hint="eastAsia"/>
                      <w:bCs/>
                      <w:szCs w:val="21"/>
                    </w:rPr>
                  </w:pPr>
                  <w:r>
                    <w:rPr>
                      <w:rFonts w:hint="eastAsia"/>
                      <w:bCs/>
                      <w:szCs w:val="21"/>
                    </w:rPr>
                    <w:t>手动打磨机</w:t>
                  </w:r>
                </w:p>
              </w:tc>
              <w:tc>
                <w:tcPr>
                  <w:tcW w:w="2506" w:type="dxa"/>
                  <w:noWrap w:val="0"/>
                  <w:vAlign w:val="center"/>
                </w:tcPr>
                <w:p>
                  <w:pPr>
                    <w:jc w:val="center"/>
                    <w:rPr>
                      <w:kern w:val="0"/>
                      <w:szCs w:val="21"/>
                    </w:rPr>
                  </w:pPr>
                  <w:r>
                    <w:rPr>
                      <w:rFonts w:hint="eastAsia"/>
                      <w:bCs/>
                      <w:kern w:val="0"/>
                      <w:szCs w:val="21"/>
                      <w:lang w:val="en-US" w:eastAsia="zh-CN"/>
                    </w:rPr>
                    <w:t>6</w:t>
                  </w:r>
                  <w:r>
                    <w:rPr>
                      <w:rFonts w:hint="eastAsia"/>
                      <w:bCs/>
                      <w:kern w:val="0"/>
                      <w:szCs w:val="21"/>
                    </w:rPr>
                    <w:t>台</w:t>
                  </w:r>
                </w:p>
              </w:tc>
              <w:tc>
                <w:tcPr>
                  <w:tcW w:w="1548" w:type="pct"/>
                  <w:noWrap w:val="0"/>
                  <w:vAlign w:val="center"/>
                </w:tcPr>
                <w:p>
                  <w:pPr>
                    <w:jc w:val="center"/>
                    <w:rPr>
                      <w:rFonts w:hint="eastAsia"/>
                      <w:bCs/>
                      <w:kern w:val="0"/>
                      <w:szCs w:val="21"/>
                    </w:rPr>
                  </w:pPr>
                  <w:r>
                    <w:rPr>
                      <w:rFonts w:hint="eastAsia"/>
                      <w:bCs/>
                      <w:kern w:val="0"/>
                      <w:szCs w:val="21"/>
                      <w:lang w:val="en-US" w:eastAsia="zh-CN"/>
                    </w:rPr>
                    <w:t>6</w:t>
                  </w:r>
                  <w:r>
                    <w:rPr>
                      <w:rFonts w:hint="eastAsia"/>
                      <w:bCs/>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15</w:t>
                  </w:r>
                </w:p>
              </w:tc>
              <w:tc>
                <w:tcPr>
                  <w:tcW w:w="1533" w:type="pct"/>
                  <w:noWrap w:val="0"/>
                  <w:vAlign w:val="center"/>
                </w:tcPr>
                <w:p>
                  <w:pPr>
                    <w:widowControl/>
                    <w:jc w:val="center"/>
                    <w:rPr>
                      <w:rFonts w:hint="eastAsia"/>
                      <w:bCs/>
                      <w:szCs w:val="21"/>
                    </w:rPr>
                  </w:pPr>
                  <w:r>
                    <w:rPr>
                      <w:rFonts w:hint="eastAsia"/>
                      <w:bCs/>
                      <w:szCs w:val="21"/>
                    </w:rPr>
                    <w:t>喷枪</w:t>
                  </w:r>
                </w:p>
              </w:tc>
              <w:tc>
                <w:tcPr>
                  <w:tcW w:w="2506" w:type="dxa"/>
                  <w:noWrap w:val="0"/>
                  <w:vAlign w:val="center"/>
                </w:tcPr>
                <w:p>
                  <w:pPr>
                    <w:jc w:val="center"/>
                    <w:rPr>
                      <w:kern w:val="0"/>
                      <w:szCs w:val="21"/>
                    </w:rPr>
                  </w:pPr>
                  <w:r>
                    <w:rPr>
                      <w:rFonts w:hint="eastAsia"/>
                      <w:bCs/>
                      <w:kern w:val="0"/>
                      <w:szCs w:val="21"/>
                      <w:lang w:val="en-US" w:eastAsia="zh-CN"/>
                    </w:rPr>
                    <w:t>2</w:t>
                  </w:r>
                  <w:r>
                    <w:rPr>
                      <w:rFonts w:hint="eastAsia"/>
                      <w:bCs/>
                      <w:kern w:val="0"/>
                      <w:szCs w:val="21"/>
                    </w:rPr>
                    <w:t>个</w:t>
                  </w:r>
                </w:p>
              </w:tc>
              <w:tc>
                <w:tcPr>
                  <w:tcW w:w="1548" w:type="pct"/>
                  <w:noWrap w:val="0"/>
                  <w:vAlign w:val="center"/>
                </w:tcPr>
                <w:p>
                  <w:pPr>
                    <w:jc w:val="center"/>
                    <w:rPr>
                      <w:rFonts w:hint="eastAsia"/>
                      <w:bCs/>
                      <w:kern w:val="0"/>
                      <w:szCs w:val="21"/>
                    </w:rPr>
                  </w:pPr>
                  <w:r>
                    <w:rPr>
                      <w:rFonts w:hint="eastAsia"/>
                      <w:bCs/>
                      <w:kern w:val="0"/>
                      <w:szCs w:val="21"/>
                      <w:lang w:val="en-US" w:eastAsia="zh-CN"/>
                    </w:rPr>
                    <w:t>2</w:t>
                  </w:r>
                  <w:r>
                    <w:rPr>
                      <w:rFonts w:hint="eastAsia"/>
                      <w:bCs/>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16</w:t>
                  </w:r>
                </w:p>
              </w:tc>
              <w:tc>
                <w:tcPr>
                  <w:tcW w:w="2454" w:type="dxa"/>
                  <w:noWrap w:val="0"/>
                  <w:vAlign w:val="center"/>
                </w:tcPr>
                <w:p>
                  <w:pPr>
                    <w:widowControl/>
                    <w:jc w:val="center"/>
                    <w:rPr>
                      <w:rFonts w:hint="eastAsia"/>
                      <w:bCs/>
                      <w:szCs w:val="21"/>
                    </w:rPr>
                  </w:pPr>
                  <w:r>
                    <w:rPr>
                      <w:rFonts w:hint="eastAsia"/>
                      <w:bCs/>
                      <w:szCs w:val="21"/>
                    </w:rPr>
                    <w:t>底漆喷房</w:t>
                  </w:r>
                  <w:r>
                    <w:rPr>
                      <w:rFonts w:hint="eastAsia"/>
                      <w:szCs w:val="21"/>
                    </w:rPr>
                    <w:t>（尺寸：5m</w:t>
                  </w:r>
                  <w:r>
                    <w:rPr>
                      <w:rFonts w:ascii="Arial" w:hAnsi="Arial" w:cs="Arial"/>
                      <w:szCs w:val="21"/>
                    </w:rPr>
                    <w:t>×</w:t>
                  </w:r>
                  <w:r>
                    <w:rPr>
                      <w:rFonts w:hint="eastAsia"/>
                      <w:szCs w:val="21"/>
                    </w:rPr>
                    <w:t>5m</w:t>
                  </w:r>
                  <w:r>
                    <w:rPr>
                      <w:rFonts w:ascii="Arial" w:hAnsi="Arial" w:cs="Arial"/>
                      <w:szCs w:val="21"/>
                    </w:rPr>
                    <w:t>×</w:t>
                  </w:r>
                  <w:r>
                    <w:rPr>
                      <w:rFonts w:hint="eastAsia"/>
                      <w:szCs w:val="21"/>
                    </w:rPr>
                    <w:t>3m）</w:t>
                  </w:r>
                </w:p>
              </w:tc>
              <w:tc>
                <w:tcPr>
                  <w:tcW w:w="2506" w:type="dxa"/>
                  <w:noWrap w:val="0"/>
                  <w:vAlign w:val="center"/>
                </w:tcPr>
                <w:p>
                  <w:pPr>
                    <w:jc w:val="center"/>
                    <w:rPr>
                      <w:kern w:val="0"/>
                      <w:szCs w:val="21"/>
                    </w:rPr>
                  </w:pPr>
                  <w:r>
                    <w:rPr>
                      <w:rFonts w:hint="eastAsia"/>
                      <w:bCs/>
                      <w:kern w:val="0"/>
                      <w:szCs w:val="21"/>
                      <w:lang w:val="en-US" w:eastAsia="zh-CN"/>
                    </w:rPr>
                    <w:t>1</w:t>
                  </w:r>
                  <w:r>
                    <w:rPr>
                      <w:rFonts w:hint="eastAsia"/>
                      <w:bCs/>
                      <w:kern w:val="0"/>
                      <w:szCs w:val="21"/>
                    </w:rPr>
                    <w:t>间</w:t>
                  </w:r>
                </w:p>
              </w:tc>
              <w:tc>
                <w:tcPr>
                  <w:tcW w:w="1548" w:type="pct"/>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17</w:t>
                  </w:r>
                </w:p>
              </w:tc>
              <w:tc>
                <w:tcPr>
                  <w:tcW w:w="2454" w:type="dxa"/>
                  <w:noWrap w:val="0"/>
                  <w:vAlign w:val="center"/>
                </w:tcPr>
                <w:p>
                  <w:pPr>
                    <w:widowControl/>
                    <w:jc w:val="center"/>
                    <w:rPr>
                      <w:rFonts w:hint="eastAsia"/>
                      <w:bCs/>
                      <w:szCs w:val="21"/>
                    </w:rPr>
                  </w:pPr>
                  <w:r>
                    <w:rPr>
                      <w:rFonts w:hint="eastAsia"/>
                      <w:bCs/>
                      <w:szCs w:val="21"/>
                    </w:rPr>
                    <w:t>自然晾干房</w:t>
                  </w:r>
                  <w:r>
                    <w:rPr>
                      <w:rFonts w:hint="eastAsia"/>
                      <w:szCs w:val="21"/>
                    </w:rPr>
                    <w:t>（尺寸：5m</w:t>
                  </w:r>
                  <w:r>
                    <w:rPr>
                      <w:rFonts w:ascii="Arial" w:hAnsi="Arial" w:cs="Arial"/>
                      <w:szCs w:val="21"/>
                    </w:rPr>
                    <w:t>×</w:t>
                  </w:r>
                  <w:r>
                    <w:rPr>
                      <w:rFonts w:hint="eastAsia"/>
                      <w:szCs w:val="21"/>
                    </w:rPr>
                    <w:t>5m</w:t>
                  </w:r>
                  <w:r>
                    <w:rPr>
                      <w:rFonts w:ascii="Arial" w:hAnsi="Arial" w:cs="Arial"/>
                      <w:szCs w:val="21"/>
                    </w:rPr>
                    <w:t>×</w:t>
                  </w:r>
                  <w:r>
                    <w:rPr>
                      <w:rFonts w:hint="eastAsia"/>
                      <w:szCs w:val="21"/>
                    </w:rPr>
                    <w:t>3m）</w:t>
                  </w:r>
                </w:p>
              </w:tc>
              <w:tc>
                <w:tcPr>
                  <w:tcW w:w="2203" w:type="dxa"/>
                  <w:noWrap w:val="0"/>
                  <w:vAlign w:val="center"/>
                </w:tcPr>
                <w:p>
                  <w:pPr>
                    <w:jc w:val="center"/>
                    <w:rPr>
                      <w:rFonts w:hint="eastAsia"/>
                      <w:kern w:val="0"/>
                      <w:szCs w:val="21"/>
                    </w:rPr>
                  </w:pPr>
                  <w:r>
                    <w:rPr>
                      <w:rFonts w:hint="eastAsia"/>
                      <w:bCs/>
                      <w:kern w:val="0"/>
                      <w:szCs w:val="21"/>
                      <w:lang w:val="en-US" w:eastAsia="zh-CN"/>
                    </w:rPr>
                    <w:t>1间</w:t>
                  </w:r>
                </w:p>
              </w:tc>
              <w:tc>
                <w:tcPr>
                  <w:tcW w:w="2478" w:type="dxa"/>
                  <w:noWrap w:val="0"/>
                  <w:vAlign w:val="center"/>
                </w:tcPr>
                <w:p>
                  <w:pPr>
                    <w:jc w:val="center"/>
                    <w:rPr>
                      <w:rFonts w:hint="eastAsia" w:eastAsiaTheme="minorEastAsia"/>
                      <w:bCs/>
                      <w:kern w:val="0"/>
                      <w:szCs w:val="21"/>
                      <w:lang w:eastAsia="zh-CN"/>
                    </w:rPr>
                  </w:pPr>
                  <w:r>
                    <w:rPr>
                      <w:rFonts w:hint="eastAsia"/>
                      <w:bCs/>
                      <w:kern w:val="0"/>
                      <w:szCs w:val="21"/>
                      <w:lang w:val="en-US" w:eastAsia="zh-CN"/>
                    </w:rPr>
                    <w:t>0间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18</w:t>
                  </w:r>
                </w:p>
              </w:tc>
              <w:tc>
                <w:tcPr>
                  <w:tcW w:w="2454" w:type="dxa"/>
                  <w:noWrap w:val="0"/>
                  <w:vAlign w:val="center"/>
                </w:tcPr>
                <w:p>
                  <w:pPr>
                    <w:widowControl/>
                    <w:jc w:val="center"/>
                    <w:rPr>
                      <w:rFonts w:hint="eastAsia"/>
                      <w:bCs/>
                      <w:szCs w:val="21"/>
                    </w:rPr>
                  </w:pPr>
                  <w:r>
                    <w:rPr>
                      <w:rFonts w:hint="eastAsia"/>
                      <w:bCs/>
                      <w:szCs w:val="21"/>
                    </w:rPr>
                    <w:t>面漆喷房</w:t>
                  </w:r>
                  <w:r>
                    <w:rPr>
                      <w:rFonts w:hint="eastAsia"/>
                      <w:szCs w:val="21"/>
                    </w:rPr>
                    <w:t>（尺寸：5m</w:t>
                  </w:r>
                  <w:r>
                    <w:rPr>
                      <w:rFonts w:ascii="Arial" w:hAnsi="Arial" w:cs="Arial"/>
                      <w:szCs w:val="21"/>
                    </w:rPr>
                    <w:t>×</w:t>
                  </w:r>
                  <w:r>
                    <w:rPr>
                      <w:rFonts w:hint="eastAsia"/>
                      <w:szCs w:val="21"/>
                    </w:rPr>
                    <w:t>5m</w:t>
                  </w:r>
                  <w:r>
                    <w:rPr>
                      <w:rFonts w:ascii="Arial" w:hAnsi="Arial" w:cs="Arial"/>
                      <w:szCs w:val="21"/>
                    </w:rPr>
                    <w:t>×</w:t>
                  </w:r>
                  <w:r>
                    <w:rPr>
                      <w:rFonts w:hint="eastAsia"/>
                      <w:szCs w:val="21"/>
                    </w:rPr>
                    <w:t>3m）</w:t>
                  </w:r>
                </w:p>
              </w:tc>
              <w:tc>
                <w:tcPr>
                  <w:tcW w:w="2203" w:type="dxa"/>
                  <w:noWrap w:val="0"/>
                  <w:vAlign w:val="center"/>
                </w:tcPr>
                <w:p>
                  <w:pPr>
                    <w:jc w:val="center"/>
                    <w:rPr>
                      <w:rFonts w:hint="eastAsia"/>
                      <w:kern w:val="0"/>
                      <w:szCs w:val="21"/>
                    </w:rPr>
                  </w:pPr>
                  <w:r>
                    <w:rPr>
                      <w:rFonts w:hint="eastAsia"/>
                      <w:bCs/>
                      <w:kern w:val="0"/>
                      <w:szCs w:val="21"/>
                      <w:lang w:val="en-US" w:eastAsia="zh-CN"/>
                    </w:rPr>
                    <w:t>2</w:t>
                  </w:r>
                  <w:r>
                    <w:rPr>
                      <w:rFonts w:hint="eastAsia"/>
                      <w:bCs/>
                      <w:kern w:val="0"/>
                      <w:szCs w:val="21"/>
                    </w:rPr>
                    <w:t>间</w:t>
                  </w:r>
                </w:p>
              </w:tc>
              <w:tc>
                <w:tcPr>
                  <w:tcW w:w="2478" w:type="dxa"/>
                  <w:noWrap w:val="0"/>
                  <w:vAlign w:val="center"/>
                </w:tcPr>
                <w:p>
                  <w:pPr>
                    <w:jc w:val="center"/>
                    <w:rPr>
                      <w:rFonts w:hint="eastAsia"/>
                      <w:bCs/>
                      <w:kern w:val="0"/>
                      <w:szCs w:val="21"/>
                    </w:rPr>
                  </w:pPr>
                  <w:r>
                    <w:rPr>
                      <w:rFonts w:hint="eastAsia"/>
                      <w:bCs/>
                      <w:kern w:val="0"/>
                      <w:szCs w:val="21"/>
                      <w:lang w:val="en-US" w:eastAsia="zh-CN"/>
                    </w:rPr>
                    <w:t>2</w:t>
                  </w:r>
                  <w:r>
                    <w:rPr>
                      <w:rFonts w:hint="eastAsia"/>
                      <w:bCs/>
                      <w:kern w:val="0"/>
                      <w:szCs w:val="21"/>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19</w:t>
                  </w:r>
                </w:p>
              </w:tc>
              <w:tc>
                <w:tcPr>
                  <w:tcW w:w="2454" w:type="dxa"/>
                  <w:noWrap w:val="0"/>
                  <w:vAlign w:val="center"/>
                </w:tcPr>
                <w:p>
                  <w:pPr>
                    <w:widowControl/>
                    <w:jc w:val="center"/>
                    <w:rPr>
                      <w:rFonts w:hint="eastAsia"/>
                      <w:bCs/>
                      <w:szCs w:val="21"/>
                    </w:rPr>
                  </w:pPr>
                  <w:r>
                    <w:rPr>
                      <w:rFonts w:hint="eastAsia"/>
                      <w:bCs/>
                      <w:szCs w:val="21"/>
                    </w:rPr>
                    <w:t>烤漆房</w:t>
                  </w:r>
                  <w:r>
                    <w:rPr>
                      <w:rFonts w:hint="eastAsia"/>
                      <w:szCs w:val="21"/>
                    </w:rPr>
                    <w:t>（尺寸：8m</w:t>
                  </w:r>
                  <w:r>
                    <w:rPr>
                      <w:rFonts w:ascii="Arial" w:hAnsi="Arial" w:cs="Arial"/>
                      <w:szCs w:val="21"/>
                    </w:rPr>
                    <w:t>×</w:t>
                  </w:r>
                  <w:r>
                    <w:rPr>
                      <w:rFonts w:hint="eastAsia"/>
                      <w:szCs w:val="21"/>
                    </w:rPr>
                    <w:t>6m</w:t>
                  </w:r>
                  <w:r>
                    <w:rPr>
                      <w:rFonts w:ascii="Arial" w:hAnsi="Arial" w:cs="Arial"/>
                      <w:szCs w:val="21"/>
                    </w:rPr>
                    <w:t>×</w:t>
                  </w:r>
                  <w:r>
                    <w:rPr>
                      <w:rFonts w:hint="eastAsia"/>
                      <w:szCs w:val="21"/>
                    </w:rPr>
                    <w:t>3m）</w:t>
                  </w:r>
                </w:p>
              </w:tc>
              <w:tc>
                <w:tcPr>
                  <w:tcW w:w="2203" w:type="dxa"/>
                  <w:noWrap w:val="0"/>
                  <w:vAlign w:val="center"/>
                </w:tcPr>
                <w:p>
                  <w:pPr>
                    <w:jc w:val="center"/>
                    <w:rPr>
                      <w:rFonts w:hint="eastAsia"/>
                      <w:kern w:val="0"/>
                      <w:szCs w:val="21"/>
                    </w:rPr>
                  </w:pPr>
                  <w:r>
                    <w:rPr>
                      <w:rFonts w:hint="eastAsia"/>
                      <w:bCs/>
                      <w:kern w:val="0"/>
                      <w:szCs w:val="21"/>
                      <w:lang w:val="en-US" w:eastAsia="zh-CN"/>
                    </w:rPr>
                    <w:t>1</w:t>
                  </w:r>
                  <w:r>
                    <w:rPr>
                      <w:rFonts w:hint="eastAsia"/>
                      <w:bCs/>
                      <w:kern w:val="0"/>
                      <w:szCs w:val="21"/>
                    </w:rPr>
                    <w:t>间</w:t>
                  </w:r>
                </w:p>
              </w:tc>
              <w:tc>
                <w:tcPr>
                  <w:tcW w:w="2478" w:type="dxa"/>
                  <w:noWrap w:val="0"/>
                  <w:vAlign w:val="center"/>
                </w:tcPr>
                <w:p>
                  <w:pPr>
                    <w:jc w:val="center"/>
                    <w:rPr>
                      <w:rFonts w:hint="eastAsia"/>
                      <w:bCs/>
                      <w:kern w:val="0"/>
                      <w:szCs w:val="21"/>
                    </w:rPr>
                  </w:pPr>
                  <w:r>
                    <w:rPr>
                      <w:rFonts w:hint="eastAsia"/>
                      <w:bCs/>
                      <w:kern w:val="0"/>
                      <w:szCs w:val="21"/>
                      <w:lang w:val="en-US" w:eastAsia="zh-CN"/>
                    </w:rPr>
                    <w:t>0</w:t>
                  </w:r>
                  <w:r>
                    <w:rPr>
                      <w:rFonts w:hint="eastAsia"/>
                      <w:bCs/>
                      <w:kern w:val="0"/>
                      <w:szCs w:val="21"/>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1" w:type="pct"/>
                  <w:noWrap w:val="0"/>
                  <w:vAlign w:val="center"/>
                </w:tcPr>
                <w:p>
                  <w:pPr>
                    <w:widowControl/>
                    <w:jc w:val="center"/>
                    <w:rPr>
                      <w:bCs/>
                      <w:kern w:val="0"/>
                      <w:szCs w:val="21"/>
                    </w:rPr>
                  </w:pPr>
                  <w:r>
                    <w:rPr>
                      <w:rFonts w:hint="eastAsia"/>
                      <w:bCs/>
                      <w:kern w:val="0"/>
                      <w:szCs w:val="21"/>
                    </w:rPr>
                    <w:t>20</w:t>
                  </w:r>
                </w:p>
              </w:tc>
              <w:tc>
                <w:tcPr>
                  <w:tcW w:w="1533" w:type="pct"/>
                  <w:noWrap w:val="0"/>
                  <w:vAlign w:val="center"/>
                </w:tcPr>
                <w:p>
                  <w:pPr>
                    <w:widowControl/>
                    <w:jc w:val="center"/>
                    <w:rPr>
                      <w:rFonts w:hint="eastAsia"/>
                      <w:bCs/>
                      <w:szCs w:val="21"/>
                    </w:rPr>
                  </w:pPr>
                  <w:r>
                    <w:rPr>
                      <w:rFonts w:hint="eastAsia"/>
                      <w:bCs/>
                      <w:szCs w:val="21"/>
                    </w:rPr>
                    <w:t>打磨间</w:t>
                  </w:r>
                  <w:r>
                    <w:rPr>
                      <w:rFonts w:hint="eastAsia"/>
                      <w:szCs w:val="21"/>
                    </w:rPr>
                    <w:t>（尺寸：10m</w:t>
                  </w:r>
                  <w:r>
                    <w:rPr>
                      <w:rFonts w:ascii="Arial" w:hAnsi="Arial" w:cs="Arial"/>
                      <w:szCs w:val="21"/>
                    </w:rPr>
                    <w:t>×</w:t>
                  </w:r>
                  <w:r>
                    <w:rPr>
                      <w:rFonts w:hint="eastAsia"/>
                      <w:szCs w:val="21"/>
                    </w:rPr>
                    <w:t>5m</w:t>
                  </w:r>
                  <w:r>
                    <w:rPr>
                      <w:rFonts w:ascii="Arial" w:hAnsi="Arial" w:cs="Arial"/>
                      <w:szCs w:val="21"/>
                    </w:rPr>
                    <w:t>×</w:t>
                  </w:r>
                  <w:r>
                    <w:rPr>
                      <w:rFonts w:hint="eastAsia"/>
                      <w:szCs w:val="21"/>
                    </w:rPr>
                    <w:t>3m）</w:t>
                  </w:r>
                </w:p>
              </w:tc>
              <w:tc>
                <w:tcPr>
                  <w:tcW w:w="2203" w:type="dxa"/>
                  <w:noWrap w:val="0"/>
                  <w:vAlign w:val="center"/>
                </w:tcPr>
                <w:p>
                  <w:pPr>
                    <w:jc w:val="center"/>
                    <w:rPr>
                      <w:rFonts w:hint="eastAsia"/>
                      <w:kern w:val="0"/>
                      <w:szCs w:val="21"/>
                    </w:rPr>
                  </w:pPr>
                  <w:r>
                    <w:rPr>
                      <w:rFonts w:hint="eastAsia"/>
                      <w:bCs/>
                      <w:kern w:val="0"/>
                      <w:szCs w:val="21"/>
                      <w:lang w:val="en-US" w:eastAsia="zh-CN"/>
                    </w:rPr>
                    <w:t>1</w:t>
                  </w:r>
                  <w:r>
                    <w:rPr>
                      <w:rFonts w:hint="eastAsia"/>
                      <w:bCs/>
                      <w:kern w:val="0"/>
                      <w:szCs w:val="21"/>
                    </w:rPr>
                    <w:t>间</w:t>
                  </w:r>
                </w:p>
              </w:tc>
              <w:tc>
                <w:tcPr>
                  <w:tcW w:w="2478" w:type="dxa"/>
                  <w:noWrap w:val="0"/>
                  <w:vAlign w:val="center"/>
                </w:tcPr>
                <w:p>
                  <w:pPr>
                    <w:jc w:val="center"/>
                    <w:rPr>
                      <w:rFonts w:hint="eastAsia"/>
                      <w:bCs/>
                      <w:kern w:val="0"/>
                      <w:szCs w:val="21"/>
                    </w:rPr>
                  </w:pPr>
                  <w:r>
                    <w:rPr>
                      <w:rFonts w:hint="eastAsia"/>
                      <w:bCs/>
                      <w:kern w:val="0"/>
                      <w:szCs w:val="21"/>
                      <w:lang w:val="en-US" w:eastAsia="zh-CN"/>
                    </w:rPr>
                    <w:t>1</w:t>
                  </w:r>
                  <w:r>
                    <w:rPr>
                      <w:rFonts w:hint="eastAsia"/>
                      <w:bCs/>
                      <w:kern w:val="0"/>
                      <w:szCs w:val="21"/>
                    </w:rPr>
                    <w:t>间</w:t>
                  </w:r>
                </w:p>
              </w:tc>
            </w:tr>
          </w:tbl>
          <w:p>
            <w:pPr>
              <w:spacing w:line="360" w:lineRule="auto"/>
              <w:rPr>
                <w:b/>
                <w:bCs/>
                <w:sz w:val="24"/>
                <w:szCs w:val="24"/>
              </w:rPr>
            </w:pPr>
            <w:r>
              <w:rPr>
                <w:rFonts w:hint="eastAsia"/>
                <w:b/>
                <w:bCs/>
                <w:sz w:val="24"/>
                <w:szCs w:val="24"/>
                <w:lang w:val="en-US" w:eastAsia="zh-CN"/>
              </w:rPr>
              <w:t>3、</w:t>
            </w:r>
            <w:r>
              <w:rPr>
                <w:rFonts w:hint="eastAsia"/>
                <w:b/>
                <w:bCs/>
                <w:sz w:val="24"/>
                <w:szCs w:val="24"/>
              </w:rPr>
              <w:t>原辅材料消耗及水平衡：</w:t>
            </w:r>
          </w:p>
          <w:p>
            <w:pPr>
              <w:widowControl/>
              <w:spacing w:line="360" w:lineRule="auto"/>
              <w:ind w:firstLine="482" w:firstLineChars="200"/>
              <w:jc w:val="left"/>
              <w:rPr>
                <w:b/>
                <w:bCs/>
                <w:sz w:val="24"/>
                <w:szCs w:val="24"/>
              </w:rPr>
            </w:pPr>
            <w:r>
              <w:rPr>
                <w:rFonts w:hint="eastAsia"/>
                <w:b/>
                <w:bCs/>
                <w:sz w:val="24"/>
                <w:szCs w:val="24"/>
                <w:lang w:eastAsia="zh-CN"/>
              </w:rPr>
              <w:t>（</w:t>
            </w:r>
            <w:r>
              <w:rPr>
                <w:rFonts w:hint="eastAsia"/>
                <w:b/>
                <w:bCs/>
                <w:sz w:val="24"/>
                <w:szCs w:val="24"/>
                <w:lang w:val="en-US" w:eastAsia="zh-CN"/>
              </w:rPr>
              <w:t>1）</w:t>
            </w:r>
            <w:r>
              <w:rPr>
                <w:b/>
                <w:bCs/>
                <w:sz w:val="24"/>
                <w:szCs w:val="24"/>
              </w:rPr>
              <w:t>原辅材料消耗情况</w:t>
            </w:r>
          </w:p>
          <w:p>
            <w:pPr>
              <w:widowControl/>
              <w:spacing w:afterLines="20" w:line="240" w:lineRule="auto"/>
              <w:ind w:firstLine="482"/>
              <w:jc w:val="center"/>
              <w:rPr>
                <w:sz w:val="24"/>
                <w:szCs w:val="24"/>
              </w:rPr>
            </w:pPr>
            <w:r>
              <w:rPr>
                <w:rFonts w:hint="eastAsia"/>
                <w:sz w:val="24"/>
                <w:szCs w:val="24"/>
              </w:rPr>
              <w:t xml:space="preserve"> </w:t>
            </w:r>
            <w:r>
              <w:rPr>
                <w:rFonts w:hint="eastAsia"/>
                <w:b/>
                <w:bCs/>
                <w:sz w:val="24"/>
                <w:szCs w:val="24"/>
              </w:rPr>
              <w:t xml:space="preserve"> 表2.4</w:t>
            </w:r>
            <w:r>
              <w:rPr>
                <w:rFonts w:hint="eastAsia"/>
                <w:b/>
                <w:bCs/>
                <w:sz w:val="24"/>
                <w:szCs w:val="24"/>
                <w:lang w:val="en-US" w:eastAsia="zh-CN"/>
              </w:rPr>
              <w:t xml:space="preserve"> </w:t>
            </w:r>
            <w:r>
              <w:rPr>
                <w:rFonts w:hint="eastAsia"/>
                <w:b/>
                <w:bCs/>
                <w:sz w:val="24"/>
                <w:szCs w:val="24"/>
              </w:rPr>
              <w:t xml:space="preserve"> 项目主要原辅材料用量一览表</w:t>
            </w:r>
          </w:p>
          <w:tbl>
            <w:tblPr>
              <w:tblStyle w:val="21"/>
              <w:tblW w:w="4991"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165"/>
              <w:gridCol w:w="2003"/>
              <w:gridCol w:w="1014"/>
              <w:gridCol w:w="2423"/>
              <w:gridCol w:w="24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0" w:hRule="atLeast"/>
                <w:jc w:val="center"/>
              </w:trPr>
              <w:tc>
                <w:tcPr>
                  <w:tcW w:w="1743" w:type="pct"/>
                  <w:gridSpan w:val="2"/>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r>
                    <w:rPr>
                      <w:b/>
                      <w:szCs w:val="21"/>
                    </w:rPr>
                    <w:t>名称</w:t>
                  </w:r>
                </w:p>
              </w:tc>
              <w:tc>
                <w:tcPr>
                  <w:tcW w:w="558"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r>
                    <w:rPr>
                      <w:b/>
                      <w:szCs w:val="21"/>
                    </w:rPr>
                    <w:t>单位</w:t>
                  </w:r>
                </w:p>
              </w:tc>
              <w:tc>
                <w:tcPr>
                  <w:tcW w:w="1333"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r>
                    <w:rPr>
                      <w:rFonts w:hint="eastAsia"/>
                      <w:b/>
                      <w:szCs w:val="21"/>
                      <w:lang w:eastAsia="zh-CN"/>
                    </w:rPr>
                    <w:t>环评申报</w:t>
                  </w:r>
                  <w:r>
                    <w:rPr>
                      <w:b/>
                      <w:szCs w:val="21"/>
                    </w:rPr>
                    <w:t>消耗量</w:t>
                  </w:r>
                </w:p>
              </w:tc>
              <w:tc>
                <w:tcPr>
                  <w:tcW w:w="1364"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rFonts w:hint="eastAsia" w:eastAsiaTheme="minorEastAsia"/>
                      <w:b/>
                      <w:szCs w:val="21"/>
                      <w:lang w:eastAsia="zh-CN"/>
                    </w:rPr>
                  </w:pPr>
                  <w:r>
                    <w:rPr>
                      <w:rFonts w:hint="eastAsia"/>
                      <w:b/>
                      <w:szCs w:val="21"/>
                      <w:lang w:eastAsia="zh-CN"/>
                    </w:rPr>
                    <w:t>实际消耗量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 w:hRule="atLeast"/>
                <w:jc w:val="center"/>
              </w:trPr>
              <w:tc>
                <w:tcPr>
                  <w:tcW w:w="641" w:type="pct"/>
                  <w:vMerge w:val="restar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szCs w:val="21"/>
                    </w:rPr>
                  </w:pPr>
                  <w:r>
                    <w:rPr>
                      <w:szCs w:val="21"/>
                    </w:rPr>
                    <w:t>原辅料</w:t>
                  </w:r>
                </w:p>
              </w:tc>
              <w:tc>
                <w:tcPr>
                  <w:tcW w:w="1101"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rFonts w:hint="eastAsia"/>
                      <w:bCs/>
                      <w:szCs w:val="21"/>
                    </w:rPr>
                  </w:pPr>
                  <w:r>
                    <w:rPr>
                      <w:rFonts w:hint="eastAsia"/>
                      <w:bCs/>
                      <w:szCs w:val="21"/>
                    </w:rPr>
                    <w:t>进口木材</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rPr>
                      <w:rFonts w:hint="eastAsia"/>
                      <w:bCs/>
                      <w:szCs w:val="21"/>
                    </w:rPr>
                    <w:t>160</w:t>
                  </w:r>
                </w:p>
              </w:tc>
              <w:tc>
                <w:tcPr>
                  <w:tcW w:w="2481" w:type="dxa"/>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rPr>
                      <w:rFonts w:hint="eastAsia"/>
                      <w:bCs/>
                      <w:szCs w:val="21"/>
                    </w:rP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rFonts w:hint="eastAsia"/>
                      <w:bCs/>
                      <w:szCs w:val="21"/>
                    </w:rPr>
                  </w:pPr>
                  <w:r>
                    <w:rPr>
                      <w:rFonts w:hint="eastAsia"/>
                      <w:bCs/>
                      <w:szCs w:val="21"/>
                    </w:rPr>
                    <w:t>胶合板</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rPr>
                      <w:rFonts w:hint="eastAsia"/>
                      <w:bCs/>
                      <w:szCs w:val="21"/>
                    </w:rPr>
                    <w:t>40</w:t>
                  </w:r>
                </w:p>
              </w:tc>
              <w:tc>
                <w:tcPr>
                  <w:tcW w:w="2481" w:type="dxa"/>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rPr>
                      <w:rFonts w:hint="eastAsia"/>
                      <w:bCs/>
                      <w:szCs w:val="21"/>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t>木皮</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rPr>
                      <w:bCs/>
                      <w:szCs w:val="21"/>
                    </w:rPr>
                    <w:t>0.</w:t>
                  </w:r>
                  <w:r>
                    <w:rPr>
                      <w:rFonts w:hint="eastAsia"/>
                      <w:bCs/>
                      <w:szCs w:val="21"/>
                    </w:rPr>
                    <w:t>5</w:t>
                  </w:r>
                </w:p>
              </w:tc>
              <w:tc>
                <w:tcPr>
                  <w:tcW w:w="2481" w:type="dxa"/>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rPr>
                      <w:bCs/>
                      <w:szCs w:val="21"/>
                    </w:rPr>
                    <w:t>0.</w:t>
                  </w:r>
                  <w:r>
                    <w:rPr>
                      <w:rFonts w:hint="eastAsia"/>
                      <w:bCs/>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rFonts w:hint="eastAsia"/>
                      <w:bCs/>
                      <w:color w:val="0C0C0C"/>
                      <w:szCs w:val="21"/>
                    </w:rPr>
                  </w:pPr>
                  <w:r>
                    <w:rPr>
                      <w:rFonts w:hint="eastAsia"/>
                      <w:bCs/>
                      <w:color w:val="0C0C0C"/>
                      <w:szCs w:val="21"/>
                    </w:rPr>
                    <w:t>木工胶</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rFonts w:hint="eastAsia"/>
                      <w:bCs/>
                      <w:color w:val="0C0C0C"/>
                      <w:szCs w:val="21"/>
                    </w:rPr>
                  </w:pPr>
                  <w:r>
                    <w:rPr>
                      <w:rFonts w:hint="eastAsia"/>
                      <w:bCs/>
                      <w:szCs w:val="21"/>
                    </w:rPr>
                    <w:t>2</w:t>
                  </w:r>
                </w:p>
              </w:tc>
              <w:tc>
                <w:tcPr>
                  <w:tcW w:w="2481" w:type="dxa"/>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Cs/>
                      <w:szCs w:val="21"/>
                    </w:rPr>
                  </w:pPr>
                  <w:r>
                    <w:rPr>
                      <w:rFonts w:hint="eastAsia"/>
                      <w:bCs/>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rFonts w:hint="eastAsia"/>
                      <w:bCs/>
                      <w:color w:val="0C0C0C"/>
                      <w:szCs w:val="21"/>
                    </w:rPr>
                  </w:pPr>
                  <w:r>
                    <w:rPr>
                      <w:rFonts w:hint="eastAsia"/>
                      <w:bCs/>
                      <w:color w:val="0C0C0C"/>
                      <w:szCs w:val="21"/>
                    </w:rPr>
                    <w:t>水性漆</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color w:val="000000"/>
                      <w:szCs w:val="21"/>
                    </w:rPr>
                    <w:t>4.75</w:t>
                  </w:r>
                </w:p>
              </w:tc>
              <w:tc>
                <w:tcPr>
                  <w:tcW w:w="2481" w:type="dxa"/>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rFonts w:hint="eastAsia"/>
                      <w:bCs/>
                      <w:szCs w:val="21"/>
                    </w:rPr>
                  </w:pPr>
                  <w:r>
                    <w:rPr>
                      <w:rFonts w:hint="eastAsia"/>
                      <w:color w:val="000000"/>
                      <w:szCs w:val="21"/>
                    </w:rPr>
                    <w:t>4.75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rFonts w:hint="eastAsia"/>
                      <w:bCs/>
                      <w:color w:val="0C0C0C"/>
                      <w:szCs w:val="21"/>
                    </w:rPr>
                  </w:pPr>
                  <w:r>
                    <w:rPr>
                      <w:rFonts w:hint="eastAsia"/>
                      <w:bCs/>
                      <w:color w:val="0C0C0C"/>
                      <w:szCs w:val="21"/>
                    </w:rPr>
                    <w:t>油性漆</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color w:val="000000"/>
                      <w:szCs w:val="21"/>
                    </w:rPr>
                    <w:t>1.575</w:t>
                  </w:r>
                </w:p>
              </w:tc>
              <w:tc>
                <w:tcPr>
                  <w:tcW w:w="2481" w:type="dxa"/>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color w:val="000000"/>
                      <w:szCs w:val="21"/>
                    </w:rPr>
                    <w:t>1.575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szCs w:val="21"/>
                    </w:rPr>
                  </w:pPr>
                  <w:r>
                    <w:rPr>
                      <w:bCs/>
                      <w:color w:val="0C0C0C"/>
                      <w:szCs w:val="21"/>
                    </w:rPr>
                    <w:t>稀释剂</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bCs/>
                      <w:szCs w:val="21"/>
                    </w:rPr>
                    <w:t>0.7875</w:t>
                  </w:r>
                </w:p>
              </w:tc>
              <w:tc>
                <w:tcPr>
                  <w:tcW w:w="2481" w:type="dxa"/>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bCs/>
                      <w:szCs w:val="21"/>
                    </w:rPr>
                    <w:t>0.7875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szCs w:val="21"/>
                    </w:rPr>
                  </w:pPr>
                  <w:r>
                    <w:rPr>
                      <w:bCs/>
                      <w:color w:val="0C0C0C"/>
                      <w:szCs w:val="21"/>
                    </w:rPr>
                    <w:t>固化剂</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bCs/>
                      <w:szCs w:val="21"/>
                    </w:rPr>
                    <w:t>t/a</w:t>
                  </w:r>
                </w:p>
              </w:tc>
              <w:tc>
                <w:tcPr>
                  <w:tcW w:w="1333"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color w:val="000000"/>
                      <w:szCs w:val="21"/>
                    </w:rPr>
                    <w:t>0.7875</w:t>
                  </w:r>
                </w:p>
              </w:tc>
              <w:tc>
                <w:tcPr>
                  <w:tcW w:w="2481" w:type="dxa"/>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color w:val="000000"/>
                      <w:szCs w:val="21"/>
                    </w:rPr>
                    <w:t>0.7875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 w:hRule="atLeast"/>
                <w:jc w:val="center"/>
              </w:trPr>
              <w:tc>
                <w:tcPr>
                  <w:tcW w:w="641" w:type="pct"/>
                  <w:vMerge w:val="continue"/>
                  <w:noWrap w:val="0"/>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ind w:right="0"/>
                    <w:jc w:val="center"/>
                    <w:textAlignment w:val="auto"/>
                    <w:rPr>
                      <w:b/>
                      <w:szCs w:val="21"/>
                    </w:rPr>
                  </w:pPr>
                </w:p>
              </w:tc>
              <w:tc>
                <w:tcPr>
                  <w:tcW w:w="1101"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rFonts w:hint="eastAsia"/>
                      <w:bCs/>
                      <w:color w:val="0C0C0C"/>
                      <w:szCs w:val="21"/>
                    </w:rPr>
                  </w:pPr>
                  <w:r>
                    <w:rPr>
                      <w:rFonts w:hint="eastAsia"/>
                      <w:bCs/>
                      <w:color w:val="0C0C0C"/>
                      <w:szCs w:val="21"/>
                    </w:rPr>
                    <w:t>五金配件</w:t>
                  </w:r>
                </w:p>
              </w:tc>
              <w:tc>
                <w:tcPr>
                  <w:tcW w:w="558"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bCs/>
                      <w:szCs w:val="21"/>
                    </w:rPr>
                    <w:t>t/a</w:t>
                  </w:r>
                </w:p>
              </w:tc>
              <w:tc>
                <w:tcPr>
                  <w:tcW w:w="1333" w:type="pct"/>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color w:val="000000"/>
                      <w:szCs w:val="21"/>
                    </w:rPr>
                  </w:pPr>
                  <w:r>
                    <w:rPr>
                      <w:rFonts w:hint="eastAsia"/>
                      <w:color w:val="000000"/>
                      <w:szCs w:val="21"/>
                    </w:rPr>
                    <w:t>0.5</w:t>
                  </w:r>
                </w:p>
              </w:tc>
              <w:tc>
                <w:tcPr>
                  <w:tcW w:w="2481" w:type="dxa"/>
                  <w:noWrap w:val="0"/>
                  <w:vAlign w:val="center"/>
                </w:tcPr>
                <w:p>
                  <w:pPr>
                    <w:keepNext w:val="0"/>
                    <w:keepLines w:val="0"/>
                    <w:pageBreakBefore w:val="0"/>
                    <w:widowControl w:val="0"/>
                    <w:kinsoku/>
                    <w:wordWrap/>
                    <w:overflowPunct/>
                    <w:topLinePunct w:val="0"/>
                    <w:autoSpaceDE/>
                    <w:autoSpaceDN/>
                    <w:bidi w:val="0"/>
                    <w:adjustRightInd/>
                    <w:snapToGrid/>
                    <w:ind w:right="0"/>
                    <w:jc w:val="center"/>
                    <w:textAlignment w:val="auto"/>
                    <w:rPr>
                      <w:bCs/>
                      <w:szCs w:val="21"/>
                    </w:rPr>
                  </w:pPr>
                  <w:r>
                    <w:rPr>
                      <w:rFonts w:hint="eastAsia"/>
                      <w:color w:val="000000"/>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0" w:hRule="atLeast"/>
                <w:jc w:val="center"/>
              </w:trPr>
              <w:tc>
                <w:tcPr>
                  <w:tcW w:w="641" w:type="pct"/>
                  <w:vMerge w:val="restart"/>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ascii="Times New Roman" w:hAnsi="Times New Roman" w:cs="Times New Roman"/>
                      <w:szCs w:val="21"/>
                    </w:rPr>
                    <w:t>能源</w:t>
                  </w:r>
                </w:p>
              </w:tc>
              <w:tc>
                <w:tcPr>
                  <w:tcW w:w="1101" w:type="pct"/>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ascii="Times New Roman" w:hAnsi="Times New Roman" w:cs="Times New Roman"/>
                      <w:szCs w:val="21"/>
                    </w:rPr>
                    <w:t>自来水</w:t>
                  </w:r>
                </w:p>
              </w:tc>
              <w:tc>
                <w:tcPr>
                  <w:tcW w:w="558" w:type="pct"/>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ascii="Times New Roman" w:hAnsi="Times New Roman" w:cs="Times New Roman"/>
                      <w:szCs w:val="21"/>
                    </w:rPr>
                    <w:t>t/a</w:t>
                  </w:r>
                </w:p>
              </w:tc>
              <w:tc>
                <w:tcPr>
                  <w:tcW w:w="1333" w:type="pct"/>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214.5</w:t>
                  </w:r>
                </w:p>
              </w:tc>
              <w:tc>
                <w:tcPr>
                  <w:tcW w:w="2481" w:type="dxa"/>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hint="eastAsia" w:ascii="Times New Roman" w:hAnsi="Times New Roman" w:cs="Times New Roman"/>
                      <w:szCs w:val="21"/>
                      <w:lang w:val="en-US" w:eastAsia="zh-CN"/>
                    </w:rPr>
                    <w:t>214.5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0" w:hRule="atLeast"/>
                <w:jc w:val="center"/>
              </w:trPr>
              <w:tc>
                <w:tcPr>
                  <w:tcW w:w="641" w:type="pct"/>
                  <w:vMerge w:val="continue"/>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p>
              </w:tc>
              <w:tc>
                <w:tcPr>
                  <w:tcW w:w="1101" w:type="pct"/>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ascii="Times New Roman" w:hAnsi="Times New Roman" w:cs="Times New Roman"/>
                      <w:szCs w:val="21"/>
                    </w:rPr>
                    <w:t>电能</w:t>
                  </w:r>
                </w:p>
              </w:tc>
              <w:tc>
                <w:tcPr>
                  <w:tcW w:w="558" w:type="pct"/>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ascii="Times New Roman" w:hAnsi="Times New Roman" w:cs="Times New Roman"/>
                      <w:szCs w:val="21"/>
                    </w:rPr>
                    <w:t>kWh/a</w:t>
                  </w:r>
                </w:p>
              </w:tc>
              <w:tc>
                <w:tcPr>
                  <w:tcW w:w="1333" w:type="pct"/>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hint="eastAsia" w:ascii="Times New Roman" w:hAnsi="Times New Roman" w:cs="Times New Roman"/>
                      <w:szCs w:val="21"/>
                    </w:rPr>
                    <w:t>10</w:t>
                  </w:r>
                  <w:r>
                    <w:rPr>
                      <w:rFonts w:ascii="Times New Roman" w:hAnsi="Times New Roman" w:cs="Times New Roman"/>
                      <w:szCs w:val="21"/>
                    </w:rPr>
                    <w:t>万</w:t>
                  </w:r>
                </w:p>
              </w:tc>
              <w:tc>
                <w:tcPr>
                  <w:tcW w:w="2481" w:type="dxa"/>
                  <w:noWrap w:val="0"/>
                  <w:vAlign w:val="center"/>
                </w:tcPr>
                <w:p>
                  <w:pPr>
                    <w:pStyle w:val="34"/>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cs="Times New Roman"/>
                      <w:szCs w:val="21"/>
                    </w:rPr>
                  </w:pPr>
                  <w:r>
                    <w:rPr>
                      <w:rFonts w:hint="eastAsia" w:ascii="Times New Roman" w:hAnsi="Times New Roman" w:cs="Times New Roman"/>
                      <w:szCs w:val="21"/>
                    </w:rPr>
                    <w:t>10</w:t>
                  </w:r>
                  <w:r>
                    <w:rPr>
                      <w:rFonts w:ascii="Times New Roman" w:hAnsi="Times New Roman" w:cs="Times New Roman"/>
                      <w:szCs w:val="21"/>
                    </w:rPr>
                    <w:t>万</w:t>
                  </w:r>
                </w:p>
              </w:tc>
            </w:tr>
          </w:tbl>
          <w:p>
            <w:pPr>
              <w:widowControl/>
              <w:spacing w:line="360" w:lineRule="auto"/>
              <w:ind w:firstLine="482" w:firstLineChars="200"/>
              <w:rPr>
                <w:b/>
                <w:bCs/>
                <w:sz w:val="24"/>
                <w:szCs w:val="24"/>
              </w:rPr>
            </w:pPr>
            <w:r>
              <w:rPr>
                <w:rFonts w:hint="eastAsia"/>
                <w:b/>
                <w:bCs/>
                <w:sz w:val="24"/>
                <w:szCs w:val="24"/>
                <w:lang w:eastAsia="zh-CN"/>
              </w:rPr>
              <w:t>（</w:t>
            </w:r>
            <w:r>
              <w:rPr>
                <w:rFonts w:hint="eastAsia"/>
                <w:b/>
                <w:bCs/>
                <w:sz w:val="24"/>
                <w:szCs w:val="24"/>
                <w:lang w:val="en-US" w:eastAsia="zh-CN"/>
              </w:rPr>
              <w:t>2）</w:t>
            </w:r>
            <w:r>
              <w:rPr>
                <w:b/>
                <w:bCs/>
                <w:sz w:val="24"/>
                <w:szCs w:val="24"/>
              </w:rPr>
              <w:t>水平衡一览表</w:t>
            </w:r>
          </w:p>
          <w:p>
            <w:pPr>
              <w:spacing w:line="360" w:lineRule="auto"/>
              <w:ind w:firstLine="480" w:firstLineChars="200"/>
              <w:rPr>
                <w:rFonts w:hint="eastAsia"/>
                <w:sz w:val="24"/>
                <w:szCs w:val="32"/>
              </w:rPr>
            </w:pPr>
            <w:r>
              <w:rPr>
                <w:color w:val="000000"/>
                <w:sz w:val="24"/>
                <w:szCs w:val="20"/>
                <w:lang w:bidi="ar"/>
              </w:rPr>
              <w:t>本项目水源来自市政供水管网，主要</w:t>
            </w:r>
            <w:r>
              <w:rPr>
                <w:sz w:val="24"/>
                <w:szCs w:val="20"/>
                <w:lang w:bidi="ar"/>
              </w:rPr>
              <w:t>为员工办公生活用水</w:t>
            </w:r>
            <w:r>
              <w:rPr>
                <w:rFonts w:hint="eastAsia"/>
                <w:sz w:val="24"/>
                <w:szCs w:val="20"/>
                <w:lang w:bidi="ar"/>
              </w:rPr>
              <w:t>和生产用水</w:t>
            </w:r>
            <w:r>
              <w:rPr>
                <w:sz w:val="24"/>
                <w:szCs w:val="20"/>
                <w:lang w:bidi="ar"/>
              </w:rPr>
              <w:t>，</w:t>
            </w:r>
            <w:r>
              <w:rPr>
                <w:rFonts w:hint="eastAsia"/>
                <w:sz w:val="24"/>
                <w:szCs w:val="32"/>
              </w:rPr>
              <w:t>生产用水为水帘柜喷漆用水。</w:t>
            </w:r>
          </w:p>
          <w:p>
            <w:pPr>
              <w:spacing w:line="360" w:lineRule="auto"/>
              <w:ind w:firstLine="480" w:firstLineChars="200"/>
              <w:rPr>
                <w:rFonts w:hint="eastAsia"/>
                <w:sz w:val="24"/>
                <w:szCs w:val="32"/>
              </w:rPr>
            </w:pPr>
            <w:r>
              <w:rPr>
                <w:rFonts w:hint="eastAsia"/>
                <w:sz w:val="24"/>
                <w:szCs w:val="32"/>
              </w:rPr>
              <w:t>（1）水帘柜喷漆用水</w:t>
            </w:r>
          </w:p>
          <w:p>
            <w:pPr>
              <w:spacing w:line="360" w:lineRule="auto"/>
              <w:ind w:firstLine="480" w:firstLineChars="200"/>
              <w:rPr>
                <w:rFonts w:hint="eastAsia"/>
                <w:color w:val="000000"/>
                <w:sz w:val="24"/>
                <w:szCs w:val="32"/>
              </w:rPr>
            </w:pPr>
            <w:r>
              <w:rPr>
                <w:rFonts w:hint="eastAsia"/>
                <w:color w:val="000000"/>
                <w:sz w:val="24"/>
                <w:szCs w:val="32"/>
              </w:rPr>
              <w:t>本项目使用水帘+过滤棉吸附喷漆、打磨过程中产生的漆雾、粉尘，共设置3个水帘柜（其中喷漆房设置3个水帘柜，尺寸均为：2.0m×1.5m×0.5m；总容积为4.5m</w:t>
            </w:r>
            <w:r>
              <w:rPr>
                <w:rFonts w:hint="eastAsia"/>
                <w:color w:val="000000"/>
                <w:sz w:val="24"/>
                <w:szCs w:val="32"/>
                <w:vertAlign w:val="superscript"/>
              </w:rPr>
              <w:t>3</w:t>
            </w:r>
            <w:r>
              <w:rPr>
                <w:rFonts w:hint="eastAsia"/>
                <w:color w:val="000000"/>
                <w:sz w:val="24"/>
                <w:szCs w:val="32"/>
              </w:rPr>
              <w:t>），水帘柜内水量总计为4.5t，水帘用水循环使用，日循环使用量为9t/d，使用过程中每天添加新鲜水，添加量为0.1t/d、30t/a，水帘废水每3天经泵抽送至一体化处理设备（处理工艺：絮凝沉淀，处理规模：</w:t>
            </w:r>
            <w:r>
              <w:rPr>
                <w:rFonts w:hint="eastAsia"/>
                <w:color w:val="000000"/>
                <w:sz w:val="24"/>
                <w:szCs w:val="32"/>
                <w:lang w:val="en-US" w:eastAsia="zh-CN"/>
              </w:rPr>
              <w:t>12</w:t>
            </w:r>
            <w:r>
              <w:rPr>
                <w:rFonts w:hint="eastAsia"/>
                <w:color w:val="000000"/>
                <w:sz w:val="24"/>
                <w:szCs w:val="32"/>
              </w:rPr>
              <w:t>t/d）内，上清液回用于水帘柜循环使用。漆渣、沉渣定期收集作为危险废物处置。</w:t>
            </w:r>
          </w:p>
          <w:p>
            <w:pPr>
              <w:spacing w:line="360" w:lineRule="auto"/>
              <w:ind w:firstLine="480" w:firstLineChars="200"/>
              <w:rPr>
                <w:rFonts w:hint="eastAsia"/>
                <w:color w:val="000000"/>
                <w:sz w:val="24"/>
              </w:rPr>
            </w:pPr>
            <w:r>
              <w:rPr>
                <w:rFonts w:hint="eastAsia"/>
                <w:color w:val="000000"/>
                <w:sz w:val="24"/>
              </w:rPr>
              <w:t>（2）生活用水</w:t>
            </w:r>
          </w:p>
          <w:p>
            <w:pPr>
              <w:spacing w:line="360" w:lineRule="auto"/>
              <w:ind w:firstLine="480" w:firstLineChars="200"/>
              <w:rPr>
                <w:rFonts w:hint="eastAsia"/>
                <w:color w:val="000000"/>
                <w:sz w:val="24"/>
              </w:rPr>
            </w:pPr>
            <w:r>
              <w:rPr>
                <w:color w:val="000000"/>
                <w:sz w:val="24"/>
              </w:rPr>
              <w:t>项目劳动定员</w:t>
            </w:r>
            <w:r>
              <w:rPr>
                <w:rFonts w:hint="eastAsia"/>
                <w:color w:val="000000"/>
                <w:sz w:val="24"/>
              </w:rPr>
              <w:t>10</w:t>
            </w:r>
            <w:r>
              <w:rPr>
                <w:color w:val="000000"/>
                <w:sz w:val="24"/>
              </w:rPr>
              <w:t>人，项目区</w:t>
            </w:r>
            <w:r>
              <w:rPr>
                <w:rFonts w:hint="eastAsia"/>
                <w:color w:val="000000"/>
                <w:sz w:val="24"/>
              </w:rPr>
              <w:t>不</w:t>
            </w:r>
            <w:r>
              <w:rPr>
                <w:color w:val="000000"/>
                <w:sz w:val="24"/>
              </w:rPr>
              <w:t>设食堂，无住宿。全厂生活用水量共计</w:t>
            </w:r>
            <w:r>
              <w:rPr>
                <w:rFonts w:hint="eastAsia"/>
                <w:color w:val="000000"/>
                <w:sz w:val="24"/>
              </w:rPr>
              <w:t>0.6</w:t>
            </w:r>
            <w:r>
              <w:rPr>
                <w:color w:val="000000"/>
                <w:sz w:val="24"/>
              </w:rPr>
              <w:t>m</w:t>
            </w:r>
            <w:r>
              <w:rPr>
                <w:color w:val="000000"/>
                <w:sz w:val="24"/>
                <w:vertAlign w:val="superscript"/>
              </w:rPr>
              <w:t>3</w:t>
            </w:r>
            <w:r>
              <w:rPr>
                <w:color w:val="000000"/>
                <w:sz w:val="24"/>
              </w:rPr>
              <w:t>/d（</w:t>
            </w:r>
            <w:r>
              <w:rPr>
                <w:rFonts w:hint="eastAsia"/>
                <w:color w:val="000000"/>
                <w:sz w:val="24"/>
              </w:rPr>
              <w:t>180</w:t>
            </w:r>
            <w:r>
              <w:rPr>
                <w:color w:val="000000"/>
                <w:sz w:val="24"/>
              </w:rPr>
              <w:t>m</w:t>
            </w:r>
            <w:r>
              <w:rPr>
                <w:color w:val="000000"/>
                <w:sz w:val="24"/>
                <w:vertAlign w:val="superscript"/>
              </w:rPr>
              <w:t>3</w:t>
            </w:r>
            <w:r>
              <w:rPr>
                <w:color w:val="000000"/>
                <w:sz w:val="24"/>
              </w:rPr>
              <w:t>/a）；生活污水排放量为</w:t>
            </w:r>
            <w:r>
              <w:rPr>
                <w:rFonts w:hint="eastAsia"/>
                <w:color w:val="000000"/>
                <w:sz w:val="24"/>
              </w:rPr>
              <w:t>0.48</w:t>
            </w:r>
            <w:r>
              <w:rPr>
                <w:color w:val="000000"/>
                <w:sz w:val="24"/>
              </w:rPr>
              <w:t>m</w:t>
            </w:r>
            <w:r>
              <w:rPr>
                <w:color w:val="000000"/>
                <w:sz w:val="24"/>
                <w:vertAlign w:val="superscript"/>
              </w:rPr>
              <w:t>3</w:t>
            </w:r>
            <w:r>
              <w:rPr>
                <w:color w:val="000000"/>
                <w:sz w:val="24"/>
              </w:rPr>
              <w:t>/d（</w:t>
            </w:r>
            <w:r>
              <w:rPr>
                <w:rFonts w:hint="eastAsia"/>
                <w:color w:val="000000"/>
                <w:sz w:val="24"/>
              </w:rPr>
              <w:t>144</w:t>
            </w:r>
            <w:r>
              <w:rPr>
                <w:color w:val="000000"/>
                <w:sz w:val="24"/>
              </w:rPr>
              <w:t>m</w:t>
            </w:r>
            <w:r>
              <w:rPr>
                <w:color w:val="000000"/>
                <w:sz w:val="24"/>
                <w:vertAlign w:val="superscript"/>
              </w:rPr>
              <w:t>3</w:t>
            </w:r>
            <w:r>
              <w:rPr>
                <w:color w:val="000000"/>
                <w:sz w:val="24"/>
              </w:rPr>
              <w:t>/a）。本项目排水实施雨污分流制，雨水经收集后排入市政雨水管网。雨水经厂区雨水管道排至厂外道路市政雨水管网，</w:t>
            </w:r>
            <w:r>
              <w:rPr>
                <w:rFonts w:hint="eastAsia"/>
                <w:color w:val="000000"/>
                <w:sz w:val="24"/>
              </w:rPr>
              <w:t>生活污水近期</w:t>
            </w:r>
            <w:r>
              <w:rPr>
                <w:rFonts w:hint="eastAsia"/>
                <w:sz w:val="24"/>
              </w:rPr>
              <w:t>依托舒城友源电子科技有限公司院内</w:t>
            </w:r>
            <w:r>
              <w:rPr>
                <w:rFonts w:hint="eastAsia"/>
                <w:color w:val="000000"/>
                <w:sz w:val="24"/>
              </w:rPr>
              <w:t>化粪池处理后定期清掏，用于项目周边农业施肥，综合利用不外排，远期待棠树乡三拐村污水处理厂投入运行并具备接管条件后，污水接管纳入污水处理厂处理达标排放。</w:t>
            </w:r>
          </w:p>
          <w:p>
            <w:pPr>
              <w:pStyle w:val="18"/>
              <w:ind w:firstLine="480"/>
              <w:rPr>
                <w:rFonts w:hint="eastAsia"/>
                <w:color w:val="000000"/>
                <w:sz w:val="24"/>
              </w:rPr>
            </w:pPr>
            <w:r>
              <w:rPr>
                <w:sz w:val="24"/>
              </w:rPr>
              <mc:AlternateContent>
                <mc:Choice Requires="wps">
                  <w:drawing>
                    <wp:anchor distT="0" distB="0" distL="114300" distR="114300" simplePos="0" relativeHeight="251663360" behindDoc="0" locked="0" layoutInCell="1" allowOverlap="1">
                      <wp:simplePos x="0" y="0"/>
                      <wp:positionH relativeFrom="column">
                        <wp:posOffset>387985</wp:posOffset>
                      </wp:positionH>
                      <wp:positionV relativeFrom="paragraph">
                        <wp:posOffset>302260</wp:posOffset>
                      </wp:positionV>
                      <wp:extent cx="583565" cy="277495"/>
                      <wp:effectExtent l="0" t="0" r="6985" b="8255"/>
                      <wp:wrapNone/>
                      <wp:docPr id="10" name="矩形 10"/>
                      <wp:cNvGraphicFramePr/>
                      <a:graphic xmlns:a="http://schemas.openxmlformats.org/drawingml/2006/main">
                        <a:graphicData uri="http://schemas.microsoft.com/office/word/2010/wordprocessingShape">
                          <wps:wsp>
                            <wps:cNvSpPr/>
                            <wps:spPr>
                              <a:xfrm>
                                <a:off x="0" y="0"/>
                                <a:ext cx="583565" cy="277495"/>
                              </a:xfrm>
                              <a:prstGeom prst="rect">
                                <a:avLst/>
                              </a:prstGeom>
                              <a:solidFill>
                                <a:srgbClr val="FFFFFF"/>
                              </a:solidFill>
                              <a:ln>
                                <a:noFill/>
                              </a:ln>
                            </wps:spPr>
                            <wps:txbx>
                              <w:txbxContent>
                                <w:p>
                                  <w:pPr>
                                    <w:rPr>
                                      <w:rFonts w:hint="eastAsia"/>
                                    </w:rPr>
                                  </w:pPr>
                                  <w:r>
                                    <w:rPr>
                                      <w:rFonts w:hint="eastAsia"/>
                                    </w:rPr>
                                    <w:t>新鲜水</w:t>
                                  </w:r>
                                </w:p>
                              </w:txbxContent>
                            </wps:txbx>
                            <wps:bodyPr upright="1"/>
                          </wps:wsp>
                        </a:graphicData>
                      </a:graphic>
                    </wp:anchor>
                  </w:drawing>
                </mc:Choice>
                <mc:Fallback>
                  <w:pict>
                    <v:rect id="_x0000_s1026" o:spid="_x0000_s1026" o:spt="1" style="position:absolute;left:0pt;margin-left:30.55pt;margin-top:23.8pt;height:21.85pt;width:45.95pt;z-index:251663360;mso-width-relative:page;mso-height-relative:page;" fillcolor="#FFFFFF" filled="t" stroked="f" coordsize="21600,21600" o:gfxdata="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YSIho1gAAAAgBAAAPAAAAAAAAAAEAIAAAACIAAABkcnMvZG93bnJldi54bWxQSwECFAAUAAAA&#10;CACHTuJAvgztNLcBAABrAwAADgAAAAAAAAABACAAAAAlAQAAZHJzL2Uyb0RvYy54bWxQSwUGAAAA&#10;AAYABgBZAQAATgUAAAAA&#10;">
                      <v:fill on="t" focussize="0,0"/>
                      <v:stroke on="f"/>
                      <v:imagedata o:title=""/>
                      <o:lock v:ext="edit" aspectratio="f"/>
                      <v:textbox>
                        <w:txbxContent>
                          <w:p>
                            <w:pPr>
                              <w:rPr>
                                <w:rFonts w:hint="eastAsia"/>
                              </w:rPr>
                            </w:pPr>
                            <w:r>
                              <w:rPr>
                                <w:rFonts w:hint="eastAsia"/>
                              </w:rPr>
                              <w:t>新鲜水</w:t>
                            </w:r>
                          </w:p>
                        </w:txbxContent>
                      </v:textbox>
                    </v:rect>
                  </w:pict>
                </mc:Fallback>
              </mc:AlternateContent>
            </w:r>
            <w:r>
              <w:rPr>
                <w:sz w:val="24"/>
              </w:rPr>
              <mc:AlternateContent>
                <mc:Choice Requires="wps">
                  <w:drawing>
                    <wp:anchor distT="0" distB="0" distL="114300" distR="114300" simplePos="0" relativeHeight="251682816" behindDoc="0" locked="0" layoutInCell="1" allowOverlap="1">
                      <wp:simplePos x="0" y="0"/>
                      <wp:positionH relativeFrom="column">
                        <wp:posOffset>2237740</wp:posOffset>
                      </wp:positionH>
                      <wp:positionV relativeFrom="paragraph">
                        <wp:posOffset>246380</wp:posOffset>
                      </wp:positionV>
                      <wp:extent cx="5715" cy="1551305"/>
                      <wp:effectExtent l="38100" t="0" r="10795" b="413385"/>
                      <wp:wrapNone/>
                      <wp:docPr id="13" name="肘形连接符 13"/>
                      <wp:cNvGraphicFramePr/>
                      <a:graphic xmlns:a="http://schemas.openxmlformats.org/drawingml/2006/main">
                        <a:graphicData uri="http://schemas.microsoft.com/office/word/2010/wordprocessingShape">
                          <wps:wsp>
                            <wps:cNvCnPr>
                              <a:stCxn id="3" idx="2"/>
                              <a:endCxn id="4" idx="2"/>
                            </wps:cNvCnPr>
                            <wps:spPr>
                              <a:xfrm rot="5400000">
                                <a:off x="0" y="0"/>
                                <a:ext cx="5715" cy="1551305"/>
                              </a:xfrm>
                              <a:prstGeom prst="bentConnector3">
                                <a:avLst>
                                  <a:gd name="adj1" fmla="val 6955556"/>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margin-left:176.2pt;margin-top:19.4pt;height:122.15pt;width:0.45pt;rotation:5898240f;z-index:251682816;mso-width-relative:page;mso-height-relative:page;" filled="f" stroked="t" coordsize="21600,21600" o:gfxdata="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hdtlp2AAAAAoBAAAPAAAAAAAAAAEAIAAAACIA&#10;AABkcnMvZG93bnJldi54bWxQSwECFAAUAAAACACHTuJANQ16JUICAAByBAAADgAAAAAAAAABACAA&#10;AAAnAQAAZHJzL2Uyb0RvYy54bWxQSwUGAAAAAAYABgBZAQAA2wUAAAAA&#10;" adj="1502400">
                      <v:fill on="f" focussize="0,0"/>
                      <v:stroke color="#000000" joinstyle="miter" endarrow="block"/>
                      <v:imagedata o:title=""/>
                      <o:lock v:ext="edit" aspectratio="f"/>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1388745</wp:posOffset>
                      </wp:positionH>
                      <wp:positionV relativeFrom="paragraph">
                        <wp:posOffset>440690</wp:posOffset>
                      </wp:positionV>
                      <wp:extent cx="463550" cy="253365"/>
                      <wp:effectExtent l="0" t="0" r="0" b="0"/>
                      <wp:wrapNone/>
                      <wp:docPr id="12" name="矩形 12"/>
                      <wp:cNvGraphicFramePr/>
                      <a:graphic xmlns:a="http://schemas.openxmlformats.org/drawingml/2006/main">
                        <a:graphicData uri="http://schemas.microsoft.com/office/word/2010/wordprocessingShape">
                          <wps:wsp>
                            <wps:cNvSpPr/>
                            <wps:spPr>
                              <a:xfrm>
                                <a:off x="0" y="0"/>
                                <a:ext cx="463550" cy="253365"/>
                              </a:xfrm>
                              <a:prstGeom prst="rect">
                                <a:avLst/>
                              </a:prstGeom>
                              <a:noFill/>
                              <a:ln>
                                <a:noFill/>
                              </a:ln>
                            </wps:spPr>
                            <wps:txbx>
                              <w:txbxContent>
                                <w:p>
                                  <w:r>
                                    <w:rPr>
                                      <w:rFonts w:hint="eastAsia"/>
                                    </w:rPr>
                                    <w:t>0.1</w:t>
                                  </w:r>
                                </w:p>
                              </w:txbxContent>
                            </wps:txbx>
                            <wps:bodyPr upright="1"/>
                          </wps:wsp>
                        </a:graphicData>
                      </a:graphic>
                    </wp:anchor>
                  </w:drawing>
                </mc:Choice>
                <mc:Fallback>
                  <w:pict>
                    <v:rect id="_x0000_s1026" o:spid="_x0000_s1026" o:spt="1" style="position:absolute;left:0pt;margin-left:109.35pt;margin-top:34.7pt;height:19.95pt;width:36.5pt;z-index:251680768;mso-width-relative:page;mso-height-relative:page;" filled="f" stroked="f" coordsize="21600,21600" o:gfxdata="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PwYLr2gAAAAoBAAAPAAAA&#10;AAAAAAEAIAAAACIAAABkcnMvZG93bnJldi54bWxQSwECFAAUAAAACACHTuJAW7uevaEBAABCAwAA&#10;DgAAAAAAAAABACAAAAApAQAAZHJzL2Uyb0RvYy54bWxQSwUGAAAAAAYABgBZAQAAPAUAAAAA&#10;">
                      <v:fill on="f" focussize="0,0"/>
                      <v:stroke on="f"/>
                      <v:imagedata o:title=""/>
                      <o:lock v:ext="edit" aspectratio="f"/>
                      <v:textbox>
                        <w:txbxContent>
                          <w:p>
                            <w:r>
                              <w:rPr>
                                <w:rFonts w:hint="eastAsia"/>
                              </w:rPr>
                              <w:t>0.1</w:t>
                            </w:r>
                          </w:p>
                        </w:txbxContent>
                      </v:textbox>
                    </v:rect>
                  </w:pict>
                </mc:Fallback>
              </mc:AlternateContent>
            </w:r>
            <w:r>
              <w:rPr>
                <w:rFonts w:hint="eastAsia"/>
                <w:color w:val="000000"/>
                <w:sz w:val="24"/>
              </w:rPr>
              <w:t>项目水平衡分析：</w:t>
            </w:r>
          </w:p>
          <w:p>
            <w:pPr>
              <w:pStyle w:val="18"/>
              <w:ind w:firstLine="480"/>
              <w:rPr>
                <w:rFonts w:hint="eastAsia"/>
                <w:color w:val="000000"/>
                <w:sz w:val="24"/>
              </w:rPr>
            </w:pPr>
            <w:r>
              <w:rPr>
                <w:sz w:val="24"/>
              </w:rPr>
              <mc:AlternateContent>
                <mc:Choice Requires="wps">
                  <w:drawing>
                    <wp:anchor distT="0" distB="0" distL="114300" distR="114300" simplePos="0" relativeHeight="251684864" behindDoc="0" locked="0" layoutInCell="1" allowOverlap="1">
                      <wp:simplePos x="0" y="0"/>
                      <wp:positionH relativeFrom="column">
                        <wp:posOffset>300355</wp:posOffset>
                      </wp:positionH>
                      <wp:positionV relativeFrom="paragraph">
                        <wp:posOffset>54610</wp:posOffset>
                      </wp:positionV>
                      <wp:extent cx="508000" cy="253365"/>
                      <wp:effectExtent l="0" t="0" r="0" b="0"/>
                      <wp:wrapNone/>
                      <wp:docPr id="9" name="矩形 9"/>
                      <wp:cNvGraphicFramePr/>
                      <a:graphic xmlns:a="http://schemas.openxmlformats.org/drawingml/2006/main">
                        <a:graphicData uri="http://schemas.microsoft.com/office/word/2010/wordprocessingShape">
                          <wps:wsp>
                            <wps:cNvSpPr/>
                            <wps:spPr>
                              <a:xfrm>
                                <a:off x="0" y="0"/>
                                <a:ext cx="508000" cy="253365"/>
                              </a:xfrm>
                              <a:prstGeom prst="rect">
                                <a:avLst/>
                              </a:prstGeom>
                              <a:noFill/>
                              <a:ln>
                                <a:noFill/>
                              </a:ln>
                            </wps:spPr>
                            <wps:txbx>
                              <w:txbxContent>
                                <w:p>
                                  <w:r>
                                    <w:rPr>
                                      <w:rFonts w:hint="eastAsia"/>
                                    </w:rPr>
                                    <w:t>0.715</w:t>
                                  </w:r>
                                </w:p>
                              </w:txbxContent>
                            </wps:txbx>
                            <wps:bodyPr upright="1"/>
                          </wps:wsp>
                        </a:graphicData>
                      </a:graphic>
                    </wp:anchor>
                  </w:drawing>
                </mc:Choice>
                <mc:Fallback>
                  <w:pict>
                    <v:rect id="_x0000_s1026" o:spid="_x0000_s1026" o:spt="1" style="position:absolute;left:0pt;margin-left:23.65pt;margin-top:4.3pt;height:19.95pt;width:40pt;z-index:251684864;mso-width-relative:page;mso-height-relative:page;" filled="f" stroked="f" coordsize="21600,21600" o:gfxdata="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gBUW9YAAAAHAQAADwAAAAAAAAAB&#10;ACAAAAAiAAAAZHJzL2Rvd25yZXYueG1sUEsBAhQAFAAAAAgAh07iQIXpWR2gAQAAQAMAAA4AAAAA&#10;AAAAAQAgAAAAJQEAAGRycy9lMm9Eb2MueG1sUEsFBgAAAAAGAAYAWQEAADcFAAAAAA==&#10;">
                      <v:fill on="f" focussize="0,0"/>
                      <v:stroke on="f"/>
                      <v:imagedata o:title=""/>
                      <o:lock v:ext="edit" aspectratio="f"/>
                      <v:textbox>
                        <w:txbxContent>
                          <w:p>
                            <w:r>
                              <w:rPr>
                                <w:rFonts w:hint="eastAsia"/>
                              </w:rPr>
                              <w:t>0.715</w:t>
                            </w:r>
                          </w:p>
                        </w:txbxContent>
                      </v:textbox>
                    </v:rect>
                  </w:pict>
                </mc:Fallback>
              </mc:AlternateContent>
            </w:r>
            <w:r>
              <w:rPr>
                <w:sz w:val="24"/>
              </w:rPr>
              <mc:AlternateContent>
                <mc:Choice Requires="wps">
                  <w:drawing>
                    <wp:anchor distT="0" distB="0" distL="114300" distR="114300" simplePos="0" relativeHeight="251671552" behindDoc="0" locked="0" layoutInCell="1" allowOverlap="1">
                      <wp:simplePos x="0" y="0"/>
                      <wp:positionH relativeFrom="column">
                        <wp:posOffset>695325</wp:posOffset>
                      </wp:positionH>
                      <wp:positionV relativeFrom="paragraph">
                        <wp:posOffset>33020</wp:posOffset>
                      </wp:positionV>
                      <wp:extent cx="7620" cy="1898015"/>
                      <wp:effectExtent l="4445" t="0" r="6985" b="6985"/>
                      <wp:wrapNone/>
                      <wp:docPr id="11" name="直接连接符 11"/>
                      <wp:cNvGraphicFramePr/>
                      <a:graphic xmlns:a="http://schemas.openxmlformats.org/drawingml/2006/main">
                        <a:graphicData uri="http://schemas.microsoft.com/office/word/2010/wordprocessingShape">
                          <wps:wsp>
                            <wps:cNvCnPr/>
                            <wps:spPr>
                              <a:xfrm flipH="1">
                                <a:off x="0" y="0"/>
                                <a:ext cx="7620" cy="189801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4.75pt;margin-top:2.6pt;height:149.45pt;width:0.6pt;z-index:251671552;mso-width-relative:page;mso-height-relative:page;" filled="f" stroked="t" coordsize="21600,21600" o:gfxdata="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34S4nWAAAACQEAAA8AAAAAAAAAAQAgAAAAIgAAAGRycy9kb3ducmV2&#10;LnhtbFBLAQIUABQAAAAIAIdO4kCmWfbD/gEAAPMDAAAOAAAAAAAAAAEAIAAAACUBAABkcnMvZTJv&#10;RG9jLnhtbFBLBQYAAAAABgAGAFkBAACVBQAAAAA=&#10;">
                      <v:fill on="f" focussize="0,0"/>
                      <v:stroke color="#000000" joinstyle="round"/>
                      <v:imagedata o:title=""/>
                      <o:lock v:ext="edit" aspectratio="f"/>
                    </v:line>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column">
                        <wp:posOffset>709930</wp:posOffset>
                      </wp:positionH>
                      <wp:positionV relativeFrom="paragraph">
                        <wp:posOffset>439420</wp:posOffset>
                      </wp:positionV>
                      <wp:extent cx="271145" cy="635"/>
                      <wp:effectExtent l="0" t="37465" r="14605" b="38100"/>
                      <wp:wrapNone/>
                      <wp:docPr id="16" name="直接连接符 16"/>
                      <wp:cNvGraphicFramePr/>
                      <a:graphic xmlns:a="http://schemas.openxmlformats.org/drawingml/2006/main">
                        <a:graphicData uri="http://schemas.microsoft.com/office/word/2010/wordprocessingShape">
                          <wps:wsp>
                            <wps:cNvCnPr/>
                            <wps:spPr>
                              <a:xfrm>
                                <a:off x="0" y="0"/>
                                <a:ext cx="27114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5.9pt;margin-top:34.6pt;height:0.05pt;width:21.35pt;z-index:251675648;mso-width-relative:page;mso-height-relative:page;" filled="f" stroked="t" coordsize="21600,21600" o:gfxdata="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1UVltkAAAAJAQAADwAAAAAAAAABACAAAAAiAAAAZHJzL2Rvd25y&#10;ZXYueG1sUEsBAhQAFAAAAAgAh07iQNlEVXj9AQAA6wMAAA4AAAAAAAAAAQAgAAAAKAEAAGRycy9l&#10;Mm9Eb2MueG1sUEsFBgAAAAAGAAYAWQEAAJcFAAAAAA==&#10;">
                      <v:fill on="f" focussize="0,0"/>
                      <v:stroke color="#000000" joinstyle="round" endarrow="block"/>
                      <v:imagedata o:title=""/>
                      <o:lock v:ext="edit" aspectratio="f"/>
                    </v:lin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1464310</wp:posOffset>
                      </wp:positionH>
                      <wp:positionV relativeFrom="paragraph">
                        <wp:posOffset>168275</wp:posOffset>
                      </wp:positionV>
                      <wp:extent cx="137795" cy="92710"/>
                      <wp:effectExtent l="5080" t="0" r="16510" b="14605"/>
                      <wp:wrapNone/>
                      <wp:docPr id="6" name="曲线连接符 6"/>
                      <wp:cNvGraphicFramePr/>
                      <a:graphic xmlns:a="http://schemas.openxmlformats.org/drawingml/2006/main">
                        <a:graphicData uri="http://schemas.microsoft.com/office/word/2010/wordprocessingShape">
                          <wps:wsp>
                            <wps:cNvCnPr/>
                            <wps:spPr>
                              <a:xfrm rot="-5400000">
                                <a:off x="0" y="0"/>
                                <a:ext cx="137795" cy="92710"/>
                              </a:xfrm>
                              <a:prstGeom prst="curvedConnector3">
                                <a:avLst>
                                  <a:gd name="adj1" fmla="val 50000"/>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8" type="#_x0000_t38" style="position:absolute;left:0pt;margin-left:115.3pt;margin-top:13.25pt;height:7.3pt;width:10.85pt;rotation:-5898240f;z-index:251679744;mso-width-relative:page;mso-height-relative:page;" filled="f" stroked="t" coordsize="21600,21600" o:gfxdata="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nHvH9tkAAAAJAQAADwAAAAAAAAABACAAAAAiAAAAZHJzL2Rvd25yZXYueG1sUEsBAhQAFAAAAAgA&#10;h07iQDiB+QAkAgAAJwQAAA4AAAAAAAAAAQAgAAAAKAEAAGRycy9lMm9Eb2MueG1sUEsFBgAAAAAG&#10;AAYAWQEAAL4FAAAAAA==&#10;" adj="1080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column">
                        <wp:posOffset>2017395</wp:posOffset>
                      </wp:positionH>
                      <wp:positionV relativeFrom="paragraph">
                        <wp:posOffset>216535</wp:posOffset>
                      </wp:positionV>
                      <wp:extent cx="507365" cy="253365"/>
                      <wp:effectExtent l="0" t="0" r="0" b="0"/>
                      <wp:wrapNone/>
                      <wp:docPr id="8" name="矩形 8"/>
                      <wp:cNvGraphicFramePr/>
                      <a:graphic xmlns:a="http://schemas.openxmlformats.org/drawingml/2006/main">
                        <a:graphicData uri="http://schemas.microsoft.com/office/word/2010/wordprocessingShape">
                          <wps:wsp>
                            <wps:cNvSpPr/>
                            <wps:spPr>
                              <a:xfrm>
                                <a:off x="0" y="0"/>
                                <a:ext cx="507365" cy="253365"/>
                              </a:xfrm>
                              <a:prstGeom prst="rect">
                                <a:avLst/>
                              </a:prstGeom>
                              <a:noFill/>
                              <a:ln>
                                <a:noFill/>
                              </a:ln>
                            </wps:spPr>
                            <wps:txbx>
                              <w:txbxContent>
                                <w:p>
                                  <w:r>
                                    <w:rPr>
                                      <w:rFonts w:hint="eastAsia"/>
                                    </w:rPr>
                                    <w:t>0.015</w:t>
                                  </w:r>
                                </w:p>
                              </w:txbxContent>
                            </wps:txbx>
                            <wps:bodyPr upright="1"/>
                          </wps:wsp>
                        </a:graphicData>
                      </a:graphic>
                    </wp:anchor>
                  </w:drawing>
                </mc:Choice>
                <mc:Fallback>
                  <w:pict>
                    <v:rect id="_x0000_s1026" o:spid="_x0000_s1026" o:spt="1" style="position:absolute;left:0pt;margin-left:158.85pt;margin-top:17.05pt;height:19.95pt;width:39.95pt;z-index:251681792;mso-width-relative:page;mso-height-relative:page;" filled="f" stroked="f" coordsize="21600,21600" o:gfxdata="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OTyhV/aAAAACQEAAA8AAAAA&#10;AAAAAQAgAAAAIgAAAGRycy9kb3ducmV2LnhtbFBLAQIUABQAAAAIAIdO4kA65VJloAEAAEADAAAO&#10;AAAAAAAAAAEAIAAAACkBAABkcnMvZTJvRG9jLnhtbFBLBQYAAAAABgAGAFkBAAA7BQAAAAA=&#10;">
                      <v:fill on="f" focussize="0,0"/>
                      <v:stroke on="f"/>
                      <v:imagedata o:title=""/>
                      <o:lock v:ext="edit" aspectratio="f"/>
                      <v:textbox>
                        <w:txbxContent>
                          <w:p>
                            <w:r>
                              <w:rPr>
                                <w:rFonts w:hint="eastAsia"/>
                              </w:rPr>
                              <w:t>0.015</w:t>
                            </w:r>
                          </w:p>
                        </w:txbxContent>
                      </v:textbox>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600710</wp:posOffset>
                      </wp:positionH>
                      <wp:positionV relativeFrom="paragraph">
                        <wp:posOffset>189865</wp:posOffset>
                      </wp:positionV>
                      <wp:extent cx="521970" cy="253365"/>
                      <wp:effectExtent l="0" t="0" r="11430" b="13335"/>
                      <wp:wrapNone/>
                      <wp:docPr id="5" name="矩形 5"/>
                      <wp:cNvGraphicFramePr/>
                      <a:graphic xmlns:a="http://schemas.openxmlformats.org/drawingml/2006/main">
                        <a:graphicData uri="http://schemas.microsoft.com/office/word/2010/wordprocessingShape">
                          <wps:wsp>
                            <wps:cNvSpPr/>
                            <wps:spPr>
                              <a:xfrm>
                                <a:off x="0" y="0"/>
                                <a:ext cx="521970" cy="253365"/>
                              </a:xfrm>
                              <a:prstGeom prst="rect">
                                <a:avLst/>
                              </a:prstGeom>
                              <a:solidFill>
                                <a:srgbClr val="FFFFFF"/>
                              </a:solidFill>
                              <a:ln>
                                <a:noFill/>
                              </a:ln>
                            </wps:spPr>
                            <wps:txbx>
                              <w:txbxContent>
                                <w:p>
                                  <w:r>
                                    <w:rPr>
                                      <w:rFonts w:hint="eastAsia"/>
                                    </w:rPr>
                                    <w:t>0.115</w:t>
                                  </w:r>
                                </w:p>
                              </w:txbxContent>
                            </wps:txbx>
                            <wps:bodyPr upright="1"/>
                          </wps:wsp>
                        </a:graphicData>
                      </a:graphic>
                    </wp:anchor>
                  </w:drawing>
                </mc:Choice>
                <mc:Fallback>
                  <w:pict>
                    <v:rect id="_x0000_s1026" o:spid="_x0000_s1026" o:spt="1" style="position:absolute;left:0pt;margin-left:47.3pt;margin-top:14.95pt;height:19.95pt;width:41.1pt;z-index:251661312;mso-width-relative:page;mso-height-relative:page;" fillcolor="#FFFFFF" filled="t" stroked="f" coordsize="21600,21600" o:gfxdata="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R5jctdYAAAAIAQAADwAAAAAAAAABACAAAAAiAAAAZHJzL2Rvd25yZXYueG1sUEsBAhQAFAAA&#10;AAgAh07iQM6/fLO4AQAAaQMAAA4AAAAAAAAAAQAgAAAAJQEAAGRycy9lMm9Eb2MueG1sUEsFBgAA&#10;AAAGAAYAWQEAAE8FAAAAAA==&#10;">
                      <v:fill on="t" focussize="0,0"/>
                      <v:stroke on="f"/>
                      <v:imagedata o:title=""/>
                      <o:lock v:ext="edit" aspectratio="f"/>
                      <v:textbox>
                        <w:txbxContent>
                          <w:p>
                            <w:r>
                              <w:rPr>
                                <w:rFonts w:hint="eastAsia"/>
                              </w:rPr>
                              <w:t>0.115</w:t>
                            </w:r>
                          </w:p>
                        </w:txbxContent>
                      </v:textbox>
                    </v:rect>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995045</wp:posOffset>
                      </wp:positionH>
                      <wp:positionV relativeFrom="paragraph">
                        <wp:posOffset>294005</wp:posOffset>
                      </wp:positionV>
                      <wp:extent cx="974725" cy="277495"/>
                      <wp:effectExtent l="4445" t="4445" r="11430" b="22860"/>
                      <wp:wrapNone/>
                      <wp:docPr id="4" name="矩形 4"/>
                      <wp:cNvGraphicFramePr/>
                      <a:graphic xmlns:a="http://schemas.openxmlformats.org/drawingml/2006/main">
                        <a:graphicData uri="http://schemas.microsoft.com/office/word/2010/wordprocessingShape">
                          <wps:wsp>
                            <wps:cNvSpPr/>
                            <wps:spPr>
                              <a:xfrm>
                                <a:off x="0" y="0"/>
                                <a:ext cx="974725" cy="277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水帘柜用水</w:t>
                                  </w:r>
                                </w:p>
                              </w:txbxContent>
                            </wps:txbx>
                            <wps:bodyPr upright="1"/>
                          </wps:wsp>
                        </a:graphicData>
                      </a:graphic>
                    </wp:anchor>
                  </w:drawing>
                </mc:Choice>
                <mc:Fallback>
                  <w:pict>
                    <v:rect id="_x0000_s1026" o:spid="_x0000_s1026" o:spt="1" style="position:absolute;left:0pt;margin-left:78.35pt;margin-top:23.15pt;height:21.85pt;width:76.75pt;z-index:251676672;mso-width-relative:page;mso-height-relative:page;" fillcolor="#FFFFFF" filled="t" stroked="t" coordsize="21600,21600" o:gfxdata="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ebYku1wAAAAkBAAAPAAAAAAAAAAEAIAAAACIAAABkcnMvZG93bnJl&#10;di54bWxQSwECFAAUAAAACACHTuJA/14a5v4BAAAoBAAADgAAAAAAAAABACAAAAAmAQAAZHJzL2Uy&#10;b0RvYy54bWxQSwUGAAAAAAYABgBZAQAAlgUAAAAA&#10;">
                      <v:fill on="t" focussize="0,0"/>
                      <v:stroke color="#000000" joinstyle="miter"/>
                      <v:imagedata o:title=""/>
                      <o:lock v:ext="edit" aspectratio="f"/>
                      <v:textbox>
                        <w:txbxContent>
                          <w:p>
                            <w:pPr>
                              <w:jc w:val="center"/>
                              <w:rPr>
                                <w:rFonts w:hint="eastAsia"/>
                              </w:rPr>
                            </w:pPr>
                            <w:r>
                              <w:rPr>
                                <w:rFonts w:hint="eastAsia"/>
                              </w:rPr>
                              <w:t>水帘柜用水</w:t>
                            </w:r>
                          </w:p>
                        </w:txbxContent>
                      </v:textbox>
                    </v:rect>
                  </w:pict>
                </mc:Fallback>
              </mc:AlternateContent>
            </w:r>
            <w:r>
              <w:rPr>
                <w:sz w:val="24"/>
              </w:rPr>
              <mc:AlternateContent>
                <mc:Choice Requires="wps">
                  <w:drawing>
                    <wp:anchor distT="0" distB="0" distL="114300" distR="114300" simplePos="0" relativeHeight="251678720" behindDoc="0" locked="0" layoutInCell="1" allowOverlap="1">
                      <wp:simplePos x="0" y="0"/>
                      <wp:positionH relativeFrom="column">
                        <wp:posOffset>2462530</wp:posOffset>
                      </wp:positionH>
                      <wp:positionV relativeFrom="paragraph">
                        <wp:posOffset>288290</wp:posOffset>
                      </wp:positionV>
                      <wp:extent cx="1143000" cy="277495"/>
                      <wp:effectExtent l="4445" t="4445" r="14605" b="22860"/>
                      <wp:wrapNone/>
                      <wp:docPr id="3" name="矩形 3"/>
                      <wp:cNvGraphicFramePr/>
                      <a:graphic xmlns:a="http://schemas.openxmlformats.org/drawingml/2006/main">
                        <a:graphicData uri="http://schemas.microsoft.com/office/word/2010/wordprocessingShape">
                          <wps:wsp>
                            <wps:cNvSpPr/>
                            <wps:spPr>
                              <a:xfrm>
                                <a:off x="0" y="0"/>
                                <a:ext cx="1143000" cy="277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一体化处理设备</w:t>
                                  </w:r>
                                </w:p>
                              </w:txbxContent>
                            </wps:txbx>
                            <wps:bodyPr upright="1"/>
                          </wps:wsp>
                        </a:graphicData>
                      </a:graphic>
                    </wp:anchor>
                  </w:drawing>
                </mc:Choice>
                <mc:Fallback>
                  <w:pict>
                    <v:rect id="_x0000_s1026" o:spid="_x0000_s1026" o:spt="1" style="position:absolute;left:0pt;margin-left:193.9pt;margin-top:22.7pt;height:21.85pt;width:90pt;z-index:251678720;mso-width-relative:page;mso-height-relative:page;" fillcolor="#FFFFFF" filled="t" stroked="t" coordsize="21600,21600" o:gfxdata="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r7XxtgAAAAJAQAADwAAAAAAAAABACAAAAAiAAAAZHJz&#10;L2Rvd25yZXYueG1sUEsBAhQAFAAAAAgAh07iQHpgqSAEAgAAKQQAAA4AAAAAAAAAAQAgAAAAJwEA&#10;AGRycy9lMm9Eb2MueG1sUEsFBgAAAAAGAAYAWQEAAJ0FAAAAAA==&#10;">
                      <v:fill on="t" focussize="0,0"/>
                      <v:stroke color="#000000" joinstyle="miter"/>
                      <v:imagedata o:title=""/>
                      <o:lock v:ext="edit" aspectratio="f"/>
                      <v:textbox>
                        <w:txbxContent>
                          <w:p>
                            <w:pPr>
                              <w:jc w:val="center"/>
                              <w:rPr>
                                <w:rFonts w:hint="eastAsia"/>
                              </w:rPr>
                            </w:pPr>
                            <w:r>
                              <w:rPr>
                                <w:rFonts w:hint="eastAsia"/>
                              </w:rPr>
                              <w:t>一体化处理设备</w:t>
                            </w:r>
                          </w:p>
                        </w:txbxContent>
                      </v:textbox>
                    </v:rect>
                  </w:pict>
                </mc:Fallback>
              </mc:AlternateContent>
            </w:r>
          </w:p>
          <w:p>
            <w:pPr>
              <w:pStyle w:val="18"/>
              <w:ind w:firstLine="480"/>
              <w:rPr>
                <w:rFonts w:hint="eastAsia"/>
                <w:color w:val="000000"/>
                <w:sz w:val="24"/>
              </w:rPr>
            </w:pPr>
            <w:r>
              <w:rPr>
                <w:sz w:val="24"/>
              </w:rPr>
              <mc:AlternateContent>
                <mc:Choice Requires="wps">
                  <w:drawing>
                    <wp:anchor distT="0" distB="0" distL="114300" distR="114300" simplePos="0" relativeHeight="251683840" behindDoc="0" locked="0" layoutInCell="1" allowOverlap="1">
                      <wp:simplePos x="0" y="0"/>
                      <wp:positionH relativeFrom="column">
                        <wp:posOffset>1482725</wp:posOffset>
                      </wp:positionH>
                      <wp:positionV relativeFrom="paragraph">
                        <wp:posOffset>243840</wp:posOffset>
                      </wp:positionV>
                      <wp:extent cx="1547495" cy="253365"/>
                      <wp:effectExtent l="0" t="0" r="0" b="0"/>
                      <wp:wrapNone/>
                      <wp:docPr id="14" name="矩形 14"/>
                      <wp:cNvGraphicFramePr/>
                      <a:graphic xmlns:a="http://schemas.openxmlformats.org/drawingml/2006/main">
                        <a:graphicData uri="http://schemas.microsoft.com/office/word/2010/wordprocessingShape">
                          <wps:wsp>
                            <wps:cNvSpPr/>
                            <wps:spPr>
                              <a:xfrm>
                                <a:off x="0" y="0"/>
                                <a:ext cx="1547495" cy="253365"/>
                              </a:xfrm>
                              <a:prstGeom prst="rect">
                                <a:avLst/>
                              </a:prstGeom>
                              <a:noFill/>
                              <a:ln>
                                <a:noFill/>
                              </a:ln>
                            </wps:spPr>
                            <wps:txbx>
                              <w:txbxContent>
                                <w:p>
                                  <w:r>
                                    <w:rPr>
                                      <w:rFonts w:hint="eastAsia"/>
                                    </w:rPr>
                                    <w:t>循环使用，循环量</w:t>
                                  </w:r>
                                  <w:r>
                                    <w:rPr>
                                      <w:rFonts w:hint="eastAsia"/>
                                      <w:lang w:val="en-US" w:eastAsia="zh-CN"/>
                                    </w:rPr>
                                    <w:t>9</w:t>
                                  </w:r>
                                  <w:r>
                                    <w:rPr>
                                      <w:rFonts w:hint="eastAsia"/>
                                    </w:rPr>
                                    <w:t>t/d</w:t>
                                  </w:r>
                                </w:p>
                              </w:txbxContent>
                            </wps:txbx>
                            <wps:bodyPr upright="1"/>
                          </wps:wsp>
                        </a:graphicData>
                      </a:graphic>
                    </wp:anchor>
                  </w:drawing>
                </mc:Choice>
                <mc:Fallback>
                  <w:pict>
                    <v:rect id="_x0000_s1026" o:spid="_x0000_s1026" o:spt="1" style="position:absolute;left:0pt;margin-left:116.75pt;margin-top:19.2pt;height:19.95pt;width:121.85pt;z-index:251683840;mso-width-relative:page;mso-height-relative:page;" filled="f" stroked="f" coordsize="21600,21600" o:gfxdata="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Vw6f+tsAAAAJAQAA&#10;DwAAAAAAAAABACAAAAAiAAAAZHJzL2Rvd25yZXYueG1sUEsBAhQAFAAAAAgAh07iQN2nzDKkAQAA&#10;QwMAAA4AAAAAAAAAAQAgAAAAKgEAAGRycy9lMm9Eb2MueG1sUEsFBgAAAAAGAAYAWQEAAEAFAAAA&#10;AA==&#10;">
                      <v:fill on="f" focussize="0,0"/>
                      <v:stroke on="f"/>
                      <v:imagedata o:title=""/>
                      <o:lock v:ext="edit" aspectratio="f"/>
                      <v:textbox>
                        <w:txbxContent>
                          <w:p>
                            <w:r>
                              <w:rPr>
                                <w:rFonts w:hint="eastAsia"/>
                              </w:rPr>
                              <w:t>循环使用，循环量</w:t>
                            </w:r>
                            <w:r>
                              <w:rPr>
                                <w:rFonts w:hint="eastAsia"/>
                                <w:lang w:val="en-US" w:eastAsia="zh-CN"/>
                              </w:rPr>
                              <w:t>9</w:t>
                            </w:r>
                            <w:r>
                              <w:rPr>
                                <w:rFonts w:hint="eastAsia"/>
                              </w:rPr>
                              <w:t>t/d</w:t>
                            </w:r>
                          </w:p>
                        </w:txbxContent>
                      </v:textbox>
                    </v:rect>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1956435</wp:posOffset>
                      </wp:positionH>
                      <wp:positionV relativeFrom="paragraph">
                        <wp:posOffset>8255</wp:posOffset>
                      </wp:positionV>
                      <wp:extent cx="501015" cy="635"/>
                      <wp:effectExtent l="0" t="37465" r="13335" b="38100"/>
                      <wp:wrapNone/>
                      <wp:docPr id="15" name="直接连接符 15"/>
                      <wp:cNvGraphicFramePr/>
                      <a:graphic xmlns:a="http://schemas.openxmlformats.org/drawingml/2006/main">
                        <a:graphicData uri="http://schemas.microsoft.com/office/word/2010/wordprocessingShape">
                          <wps:wsp>
                            <wps:cNvCnPr/>
                            <wps:spPr>
                              <a:xfrm>
                                <a:off x="0" y="0"/>
                                <a:ext cx="50101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4.05pt;margin-top:0.65pt;height:0.05pt;width:39.45pt;z-index:251677696;mso-width-relative:page;mso-height-relative:page;" filled="f" stroked="t" coordsize="21600,21600" o:gfxdata="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5uO1gAAAAcBAAAPAAAAAAAAAAEAIAAAACIAAABkcnMvZG93bnJldi54&#10;bWxQSwECFAAUAAAACACHTuJAmUm1l/wBAADrAwAADgAAAAAAAAABACAAAAAlAQAAZHJzL2Uyb0Rv&#10;Yy54bWxQSwUGAAAAAAYABgBZAQAAkwUAAAAA&#10;">
                      <v:fill on="f" focussize="0,0"/>
                      <v:stroke color="#000000" joinstyle="round" endarrow="block"/>
                      <v:imagedata o:title=""/>
                      <o:lock v:ext="edit" aspectratio="f"/>
                    </v:line>
                  </w:pict>
                </mc:Fallback>
              </mc:AlternateContent>
            </w:r>
          </w:p>
          <w:p>
            <w:pPr>
              <w:pStyle w:val="18"/>
              <w:ind w:firstLine="480"/>
              <w:rPr>
                <w:rFonts w:hint="eastAsia"/>
                <w:color w:val="000000"/>
                <w:sz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3779520</wp:posOffset>
                      </wp:positionH>
                      <wp:positionV relativeFrom="paragraph">
                        <wp:posOffset>467995</wp:posOffset>
                      </wp:positionV>
                      <wp:extent cx="1372235" cy="907415"/>
                      <wp:effectExtent l="0" t="0" r="0" b="0"/>
                      <wp:wrapNone/>
                      <wp:docPr id="25" name="矩形 25"/>
                      <wp:cNvGraphicFramePr/>
                      <a:graphic xmlns:a="http://schemas.openxmlformats.org/drawingml/2006/main">
                        <a:graphicData uri="http://schemas.microsoft.com/office/word/2010/wordprocessingShape">
                          <wps:wsp>
                            <wps:cNvSpPr/>
                            <wps:spPr>
                              <a:xfrm>
                                <a:off x="0" y="0"/>
                                <a:ext cx="1372235" cy="907415"/>
                              </a:xfrm>
                              <a:prstGeom prst="rect">
                                <a:avLst/>
                              </a:prstGeom>
                              <a:noFill/>
                              <a:ln>
                                <a:noFill/>
                              </a:ln>
                            </wps:spPr>
                            <wps:txbx>
                              <w:txbxContent>
                                <w:p>
                                  <w:pPr>
                                    <w:jc w:val="center"/>
                                    <w:rPr>
                                      <w:rFonts w:hint="eastAsia"/>
                                      <w:szCs w:val="21"/>
                                    </w:rPr>
                                  </w:pPr>
                                  <w:r>
                                    <w:rPr>
                                      <w:rFonts w:hint="eastAsia"/>
                                      <w:color w:val="000000"/>
                                      <w:szCs w:val="21"/>
                                    </w:rPr>
                                    <w:t>近期定期清掏，不外排。远期接管纳入棠树乡三拐村污水处理厂处理排放</w:t>
                                  </w:r>
                                </w:p>
                              </w:txbxContent>
                            </wps:txbx>
                            <wps:bodyPr upright="1"/>
                          </wps:wsp>
                        </a:graphicData>
                      </a:graphic>
                    </wp:anchor>
                  </w:drawing>
                </mc:Choice>
                <mc:Fallback>
                  <w:pict>
                    <v:rect id="_x0000_s1026" o:spid="_x0000_s1026" o:spt="1" style="position:absolute;left:0pt;margin-left:297.6pt;margin-top:36.85pt;height:71.45pt;width:108.05pt;z-index:251669504;mso-width-relative:page;mso-height-relative:page;" filled="f" stroked="f" coordsize="21600,21600" o:gfxdata="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ot3ybbAAAACgEAAA8A&#10;AAAAAAAAAQAgAAAAIgAAAGRycy9kb3ducmV2LnhtbFBLAQIUABQAAAAIAIdO4kCydftAogEAAEMD&#10;AAAOAAAAAAAAAAEAIAAAACoBAABkcnMvZTJvRG9jLnhtbFBLBQYAAAAABgAGAFkBAAA+BQAAAAA=&#10;">
                      <v:fill on="f" focussize="0,0"/>
                      <v:stroke on="f"/>
                      <v:imagedata o:title=""/>
                      <o:lock v:ext="edit" aspectratio="f"/>
                      <v:textbox>
                        <w:txbxContent>
                          <w:p>
                            <w:pPr>
                              <w:jc w:val="center"/>
                              <w:rPr>
                                <w:rFonts w:hint="eastAsia"/>
                                <w:szCs w:val="21"/>
                              </w:rPr>
                            </w:pPr>
                            <w:r>
                              <w:rPr>
                                <w:rFonts w:hint="eastAsia"/>
                                <w:color w:val="000000"/>
                                <w:szCs w:val="21"/>
                              </w:rPr>
                              <w:t>近期定期清掏，不外排。远期接管纳入棠树乡三拐村污水处理厂处理排放</w:t>
                            </w:r>
                          </w:p>
                        </w:txbxContent>
                      </v:textbox>
                    </v:rect>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1360805</wp:posOffset>
                      </wp:positionH>
                      <wp:positionV relativeFrom="paragraph">
                        <wp:posOffset>363220</wp:posOffset>
                      </wp:positionV>
                      <wp:extent cx="463550" cy="253365"/>
                      <wp:effectExtent l="0" t="0" r="12700" b="13335"/>
                      <wp:wrapNone/>
                      <wp:docPr id="17" name="矩形 17"/>
                      <wp:cNvGraphicFramePr/>
                      <a:graphic xmlns:a="http://schemas.openxmlformats.org/drawingml/2006/main">
                        <a:graphicData uri="http://schemas.microsoft.com/office/word/2010/wordprocessingShape">
                          <wps:wsp>
                            <wps:cNvSpPr/>
                            <wps:spPr>
                              <a:xfrm>
                                <a:off x="0" y="0"/>
                                <a:ext cx="463550" cy="253365"/>
                              </a:xfrm>
                              <a:prstGeom prst="rect">
                                <a:avLst/>
                              </a:prstGeom>
                              <a:solidFill>
                                <a:srgbClr val="FFFFFF"/>
                              </a:solidFill>
                              <a:ln>
                                <a:noFill/>
                              </a:ln>
                            </wps:spPr>
                            <wps:txbx>
                              <w:txbxContent>
                                <w:p>
                                  <w:r>
                                    <w:rPr>
                                      <w:rFonts w:hint="eastAsia"/>
                                    </w:rPr>
                                    <w:t>0.12</w:t>
                                  </w:r>
                                </w:p>
                              </w:txbxContent>
                            </wps:txbx>
                            <wps:bodyPr upright="1"/>
                          </wps:wsp>
                        </a:graphicData>
                      </a:graphic>
                    </wp:anchor>
                  </w:drawing>
                </mc:Choice>
                <mc:Fallback>
                  <w:pict>
                    <v:rect id="_x0000_s1026" o:spid="_x0000_s1026" o:spt="1" style="position:absolute;left:0pt;margin-left:107.15pt;margin-top:28.6pt;height:19.95pt;width:36.5pt;z-index:251662336;mso-width-relative:page;mso-height-relative:page;" fillcolor="#FFFFFF" filled="t" stroked="f" coordsize="21600,21600" o:gfxdata="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G78hpdgAAAAJAQAADwAAAAAAAAABACAAAAAiAAAAZHJzL2Rvd25yZXYueG1sUEsBAhQAFAAA&#10;AAgAh07iQHlp9wu2AQAAawMAAA4AAAAAAAAAAQAgAAAAJwEAAGRycy9lMm9Eb2MueG1sUEsFBgAA&#10;AAAGAAYAWQEAAE8FAAAAAA==&#10;">
                      <v:fill on="t" focussize="0,0"/>
                      <v:stroke on="f"/>
                      <v:imagedata o:title=""/>
                      <o:lock v:ext="edit" aspectratio="f"/>
                      <v:textbox>
                        <w:txbxContent>
                          <w:p>
                            <w:r>
                              <w:rPr>
                                <w:rFonts w:hint="eastAsia"/>
                              </w:rPr>
                              <w:t>0.12</w:t>
                            </w:r>
                          </w:p>
                        </w:txbxContent>
                      </v:textbox>
                    </v:rect>
                  </w:pict>
                </mc:Fallback>
              </mc:AlternateContent>
            </w:r>
          </w:p>
          <w:p>
            <w:pPr>
              <w:pStyle w:val="18"/>
              <w:ind w:firstLine="480"/>
              <w:rPr>
                <w:rFonts w:hint="eastAsia"/>
                <w:color w:val="000000"/>
                <w:sz w:val="24"/>
              </w:rPr>
            </w:pPr>
            <w:r>
              <w:rPr>
                <w:sz w:val="24"/>
              </w:rPr>
              <mc:AlternateContent>
                <mc:Choice Requires="wps">
                  <w:drawing>
                    <wp:anchor distT="0" distB="0" distL="114300" distR="114300" simplePos="0" relativeHeight="251666432" behindDoc="0" locked="0" layoutInCell="1" allowOverlap="1">
                      <wp:simplePos x="0" y="0"/>
                      <wp:positionH relativeFrom="column">
                        <wp:posOffset>1936750</wp:posOffset>
                      </wp:positionH>
                      <wp:positionV relativeFrom="paragraph">
                        <wp:posOffset>433070</wp:posOffset>
                      </wp:positionV>
                      <wp:extent cx="501015" cy="635"/>
                      <wp:effectExtent l="0" t="37465" r="13335" b="38100"/>
                      <wp:wrapNone/>
                      <wp:docPr id="1" name="直接连接符 1"/>
                      <wp:cNvGraphicFramePr/>
                      <a:graphic xmlns:a="http://schemas.openxmlformats.org/drawingml/2006/main">
                        <a:graphicData uri="http://schemas.microsoft.com/office/word/2010/wordprocessingShape">
                          <wps:wsp>
                            <wps:cNvCnPr/>
                            <wps:spPr>
                              <a:xfrm>
                                <a:off x="0" y="0"/>
                                <a:ext cx="50101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2.5pt;margin-top:34.1pt;height:0.05pt;width:39.45pt;z-index:251666432;mso-width-relative:page;mso-height-relative:page;" filled="f" stroked="t" coordsize="21600,21600" o:gfxdata="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88toAAAAJAQAADwAAAAAAAAABACAAAAAiAAAAZHJzL2Rvd25yZXYu&#10;eG1sUEsBAhQAFAAAAAgAh07iQPTOmKL5AQAA6QMAAA4AAAAAAAAAAQAgAAAAKQEAAGRycy9lMm9E&#10;b2MueG1sUEsFBgAAAAAGAAYAWQEAAJQFAAAAAA==&#10;">
                      <v:fill on="f" focussize="0,0"/>
                      <v:stroke color="#000000" joinstyle="round" endarrow="block"/>
                      <v:imagedata o:title=""/>
                      <o:lock v:ext="edit" aspectratio="f"/>
                    </v:lin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2419350</wp:posOffset>
                      </wp:positionH>
                      <wp:positionV relativeFrom="paragraph">
                        <wp:posOffset>284480</wp:posOffset>
                      </wp:positionV>
                      <wp:extent cx="974725" cy="277495"/>
                      <wp:effectExtent l="4445" t="4445" r="11430" b="22860"/>
                      <wp:wrapNone/>
                      <wp:docPr id="21" name="矩形 21"/>
                      <wp:cNvGraphicFramePr/>
                      <a:graphic xmlns:a="http://schemas.openxmlformats.org/drawingml/2006/main">
                        <a:graphicData uri="http://schemas.microsoft.com/office/word/2010/wordprocessingShape">
                          <wps:wsp>
                            <wps:cNvSpPr/>
                            <wps:spPr>
                              <a:xfrm>
                                <a:off x="0" y="0"/>
                                <a:ext cx="974725" cy="277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化粪池</w:t>
                                  </w:r>
                                </w:p>
                              </w:txbxContent>
                            </wps:txbx>
                            <wps:bodyPr upright="1"/>
                          </wps:wsp>
                        </a:graphicData>
                      </a:graphic>
                    </wp:anchor>
                  </w:drawing>
                </mc:Choice>
                <mc:Fallback>
                  <w:pict>
                    <v:rect id="_x0000_s1026" o:spid="_x0000_s1026" o:spt="1" style="position:absolute;left:0pt;margin-left:190.5pt;margin-top:22.4pt;height:21.85pt;width:76.75pt;z-index:251667456;mso-width-relative:page;mso-height-relative:page;" fillcolor="#FFFFFF" filled="t" stroked="t" coordsize="21600,21600" o:gfxdata="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1SGjNcAAAAJAQAADwAAAAAAAAABACAAAAAiAAAAZHJzL2Rvd25y&#10;ZXYueG1sUEsBAhQAFAAAAAgAh07iQGHjEPv/AQAAKgQAAA4AAAAAAAAAAQAgAAAAJgEAAGRycy9l&#10;Mm9Eb2MueG1sUEsFBgAAAAAGAAYAWQEAAJcFAAAAAA==&#10;">
                      <v:fill on="t" focussize="0,0"/>
                      <v:stroke color="#000000" joinstyle="miter"/>
                      <v:imagedata o:title=""/>
                      <o:lock v:ext="edit" aspectratio="f"/>
                      <v:textbox>
                        <w:txbxContent>
                          <w:p>
                            <w:pPr>
                              <w:jc w:val="center"/>
                              <w:rPr>
                                <w:rFonts w:hint="eastAsia"/>
                              </w:rPr>
                            </w:pPr>
                            <w:r>
                              <w:rPr>
                                <w:rFonts w:hint="eastAsia"/>
                              </w:rPr>
                              <w:t>化粪池</w:t>
                            </w:r>
                          </w:p>
                        </w:txbxContent>
                      </v:textbox>
                    </v:rect>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column">
                        <wp:posOffset>1422400</wp:posOffset>
                      </wp:positionH>
                      <wp:positionV relativeFrom="paragraph">
                        <wp:posOffset>156845</wp:posOffset>
                      </wp:positionV>
                      <wp:extent cx="137795" cy="92710"/>
                      <wp:effectExtent l="5080" t="0" r="16510" b="14605"/>
                      <wp:wrapNone/>
                      <wp:docPr id="22" name="曲线连接符 22"/>
                      <wp:cNvGraphicFramePr/>
                      <a:graphic xmlns:a="http://schemas.openxmlformats.org/drawingml/2006/main">
                        <a:graphicData uri="http://schemas.microsoft.com/office/word/2010/wordprocessingShape">
                          <wps:wsp>
                            <wps:cNvCnPr/>
                            <wps:spPr>
                              <a:xfrm rot="-5400000">
                                <a:off x="0" y="0"/>
                                <a:ext cx="137795" cy="92710"/>
                              </a:xfrm>
                              <a:prstGeom prst="curvedConnector3">
                                <a:avLst>
                                  <a:gd name="adj1" fmla="val 50000"/>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8" type="#_x0000_t38" style="position:absolute;left:0pt;margin-left:112pt;margin-top:12.35pt;height:7.3pt;width:10.85pt;rotation:-5898240f;z-index:251670528;mso-width-relative:page;mso-height-relative:page;" filled="f" stroked="t" coordsize="21600,21600" o:gfxdata="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jUrzO9kAAAAJAQAADwAAAAAAAAABACAAAAAiAAAAZHJzL2Rvd25yZXYueG1sUEsBAhQAFAAAAAgA&#10;h07iQNPyskIkAgAAKQQAAA4AAAAAAAAAAQAgAAAAKAEAAGRycy9lMm9Eb2MueG1sUEsFBgAAAAAG&#10;AAYAWQEAAL4FAAAAAA==&#10;" adj="1080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654050</wp:posOffset>
                      </wp:positionH>
                      <wp:positionV relativeFrom="paragraph">
                        <wp:posOffset>189230</wp:posOffset>
                      </wp:positionV>
                      <wp:extent cx="405765" cy="253365"/>
                      <wp:effectExtent l="0" t="0" r="0" b="0"/>
                      <wp:wrapNone/>
                      <wp:docPr id="18" name="矩形 18"/>
                      <wp:cNvGraphicFramePr/>
                      <a:graphic xmlns:a="http://schemas.openxmlformats.org/drawingml/2006/main">
                        <a:graphicData uri="http://schemas.microsoft.com/office/word/2010/wordprocessingShape">
                          <wps:wsp>
                            <wps:cNvSpPr/>
                            <wps:spPr>
                              <a:xfrm>
                                <a:off x="0" y="0"/>
                                <a:ext cx="405765" cy="253365"/>
                              </a:xfrm>
                              <a:prstGeom prst="rect">
                                <a:avLst/>
                              </a:prstGeom>
                              <a:noFill/>
                              <a:ln>
                                <a:noFill/>
                              </a:ln>
                            </wps:spPr>
                            <wps:txbx>
                              <w:txbxContent>
                                <w:p>
                                  <w:pPr>
                                    <w:rPr>
                                      <w:rFonts w:hint="eastAsia"/>
                                    </w:rPr>
                                  </w:pPr>
                                  <w:r>
                                    <w:rPr>
                                      <w:rFonts w:hint="eastAsia"/>
                                    </w:rPr>
                                    <w:t>0.6</w:t>
                                  </w:r>
                                </w:p>
                              </w:txbxContent>
                            </wps:txbx>
                            <wps:bodyPr upright="1"/>
                          </wps:wsp>
                        </a:graphicData>
                      </a:graphic>
                    </wp:anchor>
                  </w:drawing>
                </mc:Choice>
                <mc:Fallback>
                  <w:pict>
                    <v:rect id="_x0000_s1026" o:spid="_x0000_s1026" o:spt="1" style="position:absolute;left:0pt;margin-left:51.5pt;margin-top:14.9pt;height:19.95pt;width:31.95pt;z-index:251674624;mso-width-relative:page;mso-height-relative:page;" filled="f" stroked="f" coordsize="21600,21600" o:gfxdata="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gWDcy9kAAAAJAQAADwAA&#10;AAAAAAABACAAAAAiAAAAZHJzL2Rvd25yZXYueG1sUEsBAhQAFAAAAAgAh07iQPMJsdOjAQAAQgMA&#10;AA4AAAAAAAAAAQAgAAAAKAEAAGRycy9lMm9Eb2MueG1sUEsFBgAAAAAGAAYAWQEAAD0FAAAAAA==&#10;">
                      <v:fill on="f" focussize="0,0"/>
                      <v:stroke on="f"/>
                      <v:imagedata o:title=""/>
                      <o:lock v:ext="edit" aspectratio="f"/>
                      <v:textbox>
                        <w:txbxContent>
                          <w:p>
                            <w:pPr>
                              <w:rPr>
                                <w:rFonts w:hint="eastAsia"/>
                              </w:rPr>
                            </w:pPr>
                            <w:r>
                              <w:rPr>
                                <w:rFonts w:hint="eastAsia"/>
                              </w:rPr>
                              <w:t>0.6</w:t>
                            </w:r>
                          </w:p>
                        </w:txbxContent>
                      </v:textbox>
                    </v:rect>
                  </w:pict>
                </mc:Fallback>
              </mc:AlternateContent>
            </w:r>
            <w:r>
              <w:rPr>
                <w:sz w:val="24"/>
              </w:rPr>
              <mc:AlternateContent>
                <mc:Choice Requires="wps">
                  <w:drawing>
                    <wp:anchor distT="0" distB="0" distL="114300" distR="114300" simplePos="0" relativeHeight="251672576" behindDoc="0" locked="0" layoutInCell="1" allowOverlap="1">
                      <wp:simplePos x="0" y="0"/>
                      <wp:positionH relativeFrom="column">
                        <wp:posOffset>967740</wp:posOffset>
                      </wp:positionH>
                      <wp:positionV relativeFrom="paragraph">
                        <wp:posOffset>290195</wp:posOffset>
                      </wp:positionV>
                      <wp:extent cx="974725" cy="277495"/>
                      <wp:effectExtent l="4445" t="4445" r="11430" b="22860"/>
                      <wp:wrapNone/>
                      <wp:docPr id="19" name="矩形 19"/>
                      <wp:cNvGraphicFramePr/>
                      <a:graphic xmlns:a="http://schemas.openxmlformats.org/drawingml/2006/main">
                        <a:graphicData uri="http://schemas.microsoft.com/office/word/2010/wordprocessingShape">
                          <wps:wsp>
                            <wps:cNvSpPr/>
                            <wps:spPr>
                              <a:xfrm>
                                <a:off x="0" y="0"/>
                                <a:ext cx="974725" cy="277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生活用水</w:t>
                                  </w:r>
                                </w:p>
                              </w:txbxContent>
                            </wps:txbx>
                            <wps:bodyPr upright="1"/>
                          </wps:wsp>
                        </a:graphicData>
                      </a:graphic>
                    </wp:anchor>
                  </w:drawing>
                </mc:Choice>
                <mc:Fallback>
                  <w:pict>
                    <v:rect id="_x0000_s1026" o:spid="_x0000_s1026" o:spt="1" style="position:absolute;left:0pt;margin-left:76.2pt;margin-top:22.85pt;height:21.85pt;width:76.75pt;z-index:251672576;mso-width-relative:page;mso-height-relative:page;" fillcolor="#FFFFFF" filled="t" stroked="t" coordsize="21600,21600" o:gfxdata="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KF2StcAAAAJAQAADwAAAAAAAAABACAAAAAiAAAAZHJzL2Rvd25y&#10;ZXYueG1sUEsBAhQAFAAAAAgAh07iQJpH957/AQAAKgQAAA4AAAAAAAAAAQAgAAAAJgEAAGRycy9l&#10;Mm9Eb2MueG1sUEsFBgAAAAAGAAYAWQEAAJcFAAAAAA==&#10;">
                      <v:fill on="t" focussize="0,0"/>
                      <v:stroke color="#000000" joinstyle="miter"/>
                      <v:imagedata o:title=""/>
                      <o:lock v:ext="edit" aspectratio="f"/>
                      <v:textbox>
                        <w:txbxContent>
                          <w:p>
                            <w:pPr>
                              <w:jc w:val="center"/>
                              <w:rPr>
                                <w:rFonts w:hint="eastAsia"/>
                              </w:rPr>
                            </w:pPr>
                            <w:r>
                              <w:rPr>
                                <w:rFonts w:hint="eastAsia"/>
                              </w:rPr>
                              <w:t>生活用水</w:t>
                            </w:r>
                          </w:p>
                        </w:txbxContent>
                      </v:textbox>
                    </v:rect>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1979930</wp:posOffset>
                      </wp:positionH>
                      <wp:positionV relativeFrom="paragraph">
                        <wp:posOffset>185420</wp:posOffset>
                      </wp:positionV>
                      <wp:extent cx="405765" cy="253365"/>
                      <wp:effectExtent l="0" t="0" r="13335" b="13335"/>
                      <wp:wrapNone/>
                      <wp:docPr id="20" name="矩形 20"/>
                      <wp:cNvGraphicFramePr/>
                      <a:graphic xmlns:a="http://schemas.openxmlformats.org/drawingml/2006/main">
                        <a:graphicData uri="http://schemas.microsoft.com/office/word/2010/wordprocessingShape">
                          <wps:wsp>
                            <wps:cNvSpPr/>
                            <wps:spPr>
                              <a:xfrm>
                                <a:off x="0" y="0"/>
                                <a:ext cx="405765" cy="253365"/>
                              </a:xfrm>
                              <a:prstGeom prst="rect">
                                <a:avLst/>
                              </a:prstGeom>
                              <a:solidFill>
                                <a:srgbClr val="FFFFFF"/>
                              </a:solidFill>
                              <a:ln>
                                <a:noFill/>
                              </a:ln>
                            </wps:spPr>
                            <wps:txbx>
                              <w:txbxContent>
                                <w:p>
                                  <w:pPr>
                                    <w:rPr>
                                      <w:rFonts w:hint="eastAsia"/>
                                    </w:rPr>
                                  </w:pPr>
                                  <w:r>
                                    <w:rPr>
                                      <w:rFonts w:hint="eastAsia"/>
                                    </w:rPr>
                                    <w:t>0.6</w:t>
                                  </w:r>
                                </w:p>
                              </w:txbxContent>
                            </wps:txbx>
                            <wps:bodyPr upright="1"/>
                          </wps:wsp>
                        </a:graphicData>
                      </a:graphic>
                    </wp:anchor>
                  </w:drawing>
                </mc:Choice>
                <mc:Fallback>
                  <w:pict>
                    <v:rect id="_x0000_s1026" o:spid="_x0000_s1026" o:spt="1" style="position:absolute;left:0pt;margin-left:155.9pt;margin-top:14.6pt;height:19.95pt;width:31.95pt;z-index:251665408;mso-width-relative:page;mso-height-relative:page;" fillcolor="#FFFFFF" filled="t" stroked="f" coordsize="21600,21600" o:gfxdata="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XubFHXAAAACQEAAA8AAAAAAAAAAQAgAAAAIgAAAGRycy9kb3ducmV2LnhtbFBLAQIUABQAAAAI&#10;AIdO4kDYx9PCtQEAAGsDAAAOAAAAAAAAAAEAIAAAACYBAABkcnMvZTJvRG9jLnhtbFBLBQYAAAAA&#10;BgAGAFkBAABNBQAAAAA=&#10;">
                      <v:fill on="t" focussize="0,0"/>
                      <v:stroke on="f"/>
                      <v:imagedata o:title=""/>
                      <o:lock v:ext="edit" aspectratio="f"/>
                      <v:textbox>
                        <w:txbxContent>
                          <w:p>
                            <w:pPr>
                              <w:rPr>
                                <w:rFonts w:hint="eastAsia"/>
                              </w:rPr>
                            </w:pPr>
                            <w:r>
                              <w:rPr>
                                <w:rFonts w:hint="eastAsia"/>
                              </w:rPr>
                              <w:t>0.6</w:t>
                            </w:r>
                          </w:p>
                        </w:txbxContent>
                      </v:textbox>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3368040</wp:posOffset>
                      </wp:positionH>
                      <wp:positionV relativeFrom="paragraph">
                        <wp:posOffset>180340</wp:posOffset>
                      </wp:positionV>
                      <wp:extent cx="484505" cy="253365"/>
                      <wp:effectExtent l="0" t="0" r="10795" b="13335"/>
                      <wp:wrapNone/>
                      <wp:docPr id="23" name="矩形 23"/>
                      <wp:cNvGraphicFramePr/>
                      <a:graphic xmlns:a="http://schemas.openxmlformats.org/drawingml/2006/main">
                        <a:graphicData uri="http://schemas.microsoft.com/office/word/2010/wordprocessingShape">
                          <wps:wsp>
                            <wps:cNvSpPr/>
                            <wps:spPr>
                              <a:xfrm>
                                <a:off x="0" y="0"/>
                                <a:ext cx="484505" cy="253365"/>
                              </a:xfrm>
                              <a:prstGeom prst="rect">
                                <a:avLst/>
                              </a:prstGeom>
                              <a:solidFill>
                                <a:srgbClr val="FFFFFF"/>
                              </a:solidFill>
                              <a:ln>
                                <a:noFill/>
                              </a:ln>
                            </wps:spPr>
                            <wps:txbx>
                              <w:txbxContent>
                                <w:p>
                                  <w:r>
                                    <w:rPr>
                                      <w:rFonts w:hint="eastAsia"/>
                                    </w:rPr>
                                    <w:t>0.48</w:t>
                                  </w:r>
                                </w:p>
                              </w:txbxContent>
                            </wps:txbx>
                            <wps:bodyPr upright="1"/>
                          </wps:wsp>
                        </a:graphicData>
                      </a:graphic>
                    </wp:anchor>
                  </w:drawing>
                </mc:Choice>
                <mc:Fallback>
                  <w:pict>
                    <v:rect id="_x0000_s1026" o:spid="_x0000_s1026" o:spt="1" style="position:absolute;left:0pt;margin-left:265.2pt;margin-top:14.2pt;height:19.95pt;width:38.15pt;z-index:251664384;mso-width-relative:page;mso-height-relative:page;" fillcolor="#FFFFFF" filled="t" stroked="f" coordsize="21600,21600" o:gfxdata="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9UJubWAAAACQEAAA8AAAAAAAAAAQAgAAAAIgAAAGRycy9kb3ducmV2LnhtbFBLAQIUABQAAAAI&#10;AIdO4kADHwVetgEAAGsDAAAOAAAAAAAAAAEAIAAAACUBAABkcnMvZTJvRG9jLnhtbFBLBQYAAAAA&#10;BgAGAFkBAABNBQAAAAA=&#10;">
                      <v:fill on="t" focussize="0,0"/>
                      <v:stroke on="f"/>
                      <v:imagedata o:title=""/>
                      <o:lock v:ext="edit" aspectratio="f"/>
                      <v:textbox>
                        <w:txbxContent>
                          <w:p>
                            <w:r>
                              <w:rPr>
                                <w:rFonts w:hint="eastAsia"/>
                              </w:rPr>
                              <w:t>0.48</w:t>
                            </w:r>
                          </w:p>
                        </w:txbxContent>
                      </v:textbox>
                    </v:rect>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3397250</wp:posOffset>
                      </wp:positionH>
                      <wp:positionV relativeFrom="paragraph">
                        <wp:posOffset>426720</wp:posOffset>
                      </wp:positionV>
                      <wp:extent cx="412750" cy="635"/>
                      <wp:effectExtent l="0" t="37465" r="6350" b="38100"/>
                      <wp:wrapNone/>
                      <wp:docPr id="24" name="直接连接符 24"/>
                      <wp:cNvGraphicFramePr/>
                      <a:graphic xmlns:a="http://schemas.openxmlformats.org/drawingml/2006/main">
                        <a:graphicData uri="http://schemas.microsoft.com/office/word/2010/wordprocessingShape">
                          <wps:wsp>
                            <wps:cNvCnPr/>
                            <wps:spPr>
                              <a:xfrm>
                                <a:off x="0" y="0"/>
                                <a:ext cx="41275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67.5pt;margin-top:33.6pt;height:0.05pt;width:32.5pt;z-index:251668480;mso-width-relative:page;mso-height-relative:page;" filled="f" stroked="t" coordsize="21600,21600" o:gfxdata="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iklh9kAAAAJAQAADwAAAAAAAAABACAAAAAiAAAAZHJzL2Rvd25y&#10;ZXYueG1sUEsBAhQAFAAAAAgAh07iQGWBVEr9AQAA6wMAAA4AAAAAAAAAAQAgAAAAKAEAAGRycy9l&#10;Mm9Eb2MueG1sUEsFBgAAAAAGAAYAWQEAAJcFAAAAAA==&#10;">
                      <v:fill on="f" focussize="0,0"/>
                      <v:stroke color="#000000" joinstyle="round" endarrow="block"/>
                      <v:imagedata o:title=""/>
                      <o:lock v:ext="edit" aspectratio="f"/>
                    </v:line>
                  </w:pict>
                </mc:Fallback>
              </mc:AlternateContent>
            </w:r>
          </w:p>
          <w:p>
            <w:pPr>
              <w:pStyle w:val="18"/>
              <w:ind w:firstLine="480"/>
              <w:rPr>
                <w:b/>
                <w:bCs/>
                <w:color w:val="000000"/>
                <w:sz w:val="24"/>
              </w:rPr>
            </w:pPr>
            <w:r>
              <w:rPr>
                <w:sz w:val="24"/>
              </w:rPr>
              <mc:AlternateContent>
                <mc:Choice Requires="wps">
                  <w:drawing>
                    <wp:anchor distT="0" distB="0" distL="114300" distR="114300" simplePos="0" relativeHeight="251673600" behindDoc="0" locked="0" layoutInCell="1" allowOverlap="1">
                      <wp:simplePos x="0" y="0"/>
                      <wp:positionH relativeFrom="column">
                        <wp:posOffset>703580</wp:posOffset>
                      </wp:positionH>
                      <wp:positionV relativeFrom="paragraph">
                        <wp:posOffset>26035</wp:posOffset>
                      </wp:positionV>
                      <wp:extent cx="289560" cy="6985"/>
                      <wp:effectExtent l="0" t="36195" r="15240" b="33020"/>
                      <wp:wrapNone/>
                      <wp:docPr id="2" name="直接连接符 2"/>
                      <wp:cNvGraphicFramePr/>
                      <a:graphic xmlns:a="http://schemas.openxmlformats.org/drawingml/2006/main">
                        <a:graphicData uri="http://schemas.microsoft.com/office/word/2010/wordprocessingShape">
                          <wps:wsp>
                            <wps:cNvCnPr/>
                            <wps:spPr>
                              <a:xfrm flipV="1">
                                <a:off x="0" y="0"/>
                                <a:ext cx="289560" cy="69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55.4pt;margin-top:2.05pt;height:0.55pt;width:22.8pt;z-index:251673600;mso-width-relative:page;mso-height-relative:page;" filled="f" stroked="t" coordsize="21600,21600" o:gfxdata="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HkjDfWAAAABwEAAA8AAAAAAAAAAQAgAAAAIgAAAGRycy9k&#10;b3ducmV2LnhtbFBLAQIUABQAAAAIAIdO4kAQW1lTBAIAAPQDAAAOAAAAAAAAAAEAIAAAACUBAABk&#10;cnMvZTJvRG9jLnhtbFBLBQYAAAAABgAGAFkBAACbBQAAAAA=&#10;">
                      <v:fill on="f" focussize="0,0"/>
                      <v:stroke color="#000000" joinstyle="round" endarrow="block"/>
                      <v:imagedata o:title=""/>
                      <o:lock v:ext="edit" aspectratio="f"/>
                    </v:line>
                  </w:pict>
                </mc:Fallback>
              </mc:AlternateContent>
            </w:r>
          </w:p>
          <w:p>
            <w:pPr>
              <w:adjustRightInd w:val="0"/>
              <w:snapToGrid w:val="0"/>
              <w:spacing w:line="360" w:lineRule="auto"/>
              <w:jc w:val="center"/>
              <w:rPr>
                <w:rFonts w:hint="eastAsia" w:hAnsi="宋体"/>
                <w:b/>
                <w:bCs/>
                <w:sz w:val="24"/>
              </w:rPr>
            </w:pPr>
            <w:r>
              <w:rPr>
                <w:b/>
                <w:bCs/>
                <w:color w:val="000000"/>
                <w:sz w:val="24"/>
              </w:rPr>
              <w:t>图</w:t>
            </w:r>
            <w:r>
              <w:rPr>
                <w:rFonts w:hint="eastAsia"/>
                <w:b/>
                <w:bCs/>
                <w:color w:val="000000"/>
                <w:sz w:val="24"/>
              </w:rPr>
              <w:t>1.6</w:t>
            </w:r>
            <w:r>
              <w:rPr>
                <w:b/>
                <w:bCs/>
                <w:color w:val="000000"/>
                <w:sz w:val="24"/>
              </w:rPr>
              <w:t xml:space="preserve"> </w:t>
            </w:r>
            <w:r>
              <w:rPr>
                <w:rFonts w:hint="eastAsia"/>
                <w:b/>
                <w:bCs/>
                <w:color w:val="000000"/>
                <w:sz w:val="24"/>
              </w:rPr>
              <w:t>项目水</w:t>
            </w:r>
            <w:r>
              <w:rPr>
                <w:b/>
                <w:bCs/>
                <w:color w:val="000000"/>
                <w:sz w:val="24"/>
              </w:rPr>
              <w:t>平衡图（单位：t/a）</w:t>
            </w:r>
          </w:p>
          <w:p>
            <w:pPr>
              <w:spacing w:line="360" w:lineRule="auto"/>
              <w:rPr>
                <w:rFonts w:hint="eastAsia"/>
                <w:b/>
                <w:bCs/>
                <w:sz w:val="24"/>
                <w:szCs w:val="32"/>
              </w:rPr>
            </w:pPr>
            <w:r>
              <w:rPr>
                <w:rFonts w:hint="eastAsia"/>
                <w:b/>
                <w:bCs/>
                <w:sz w:val="24"/>
                <w:szCs w:val="32"/>
              </w:rPr>
              <w:t>主要工艺流程及产污环节：</w:t>
            </w:r>
          </w:p>
          <w:p>
            <w:pPr>
              <w:adjustRightInd w:val="0"/>
              <w:snapToGrid w:val="0"/>
              <w:spacing w:line="360" w:lineRule="auto"/>
              <w:rPr>
                <w:b/>
                <w:bCs/>
                <w:sz w:val="24"/>
              </w:rPr>
            </w:pPr>
            <w:r>
              <w:rPr>
                <w:rFonts w:hint="eastAsia"/>
                <w:b/>
                <w:bCs/>
                <w:sz w:val="24"/>
              </w:rPr>
              <w:t>1、</w:t>
            </w:r>
            <w:r>
              <w:rPr>
                <w:b/>
                <w:bCs/>
                <w:sz w:val="24"/>
              </w:rPr>
              <w:t>项目</w:t>
            </w:r>
            <w:r>
              <w:rPr>
                <w:rFonts w:hint="eastAsia"/>
                <w:b/>
                <w:bCs/>
                <w:sz w:val="24"/>
              </w:rPr>
              <w:t>营运期</w:t>
            </w:r>
            <w:r>
              <w:rPr>
                <w:b/>
                <w:bCs/>
                <w:sz w:val="24"/>
              </w:rPr>
              <w:t>工艺流程</w:t>
            </w:r>
          </w:p>
          <w:p>
            <w:pPr>
              <w:rPr>
                <w:rFonts w:hint="eastAsia"/>
                <w:b/>
                <w:sz w:val="24"/>
                <w:szCs w:val="20"/>
                <w:lang w:val="zh-CN"/>
              </w:rPr>
            </w:pPr>
            <w:r>
              <w:drawing>
                <wp:inline distT="0" distB="0" distL="114300" distR="114300">
                  <wp:extent cx="5669915" cy="7581900"/>
                  <wp:effectExtent l="0" t="0" r="6985" b="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5"/>
                          <a:stretch>
                            <a:fillRect/>
                          </a:stretch>
                        </pic:blipFill>
                        <pic:spPr>
                          <a:xfrm>
                            <a:off x="0" y="0"/>
                            <a:ext cx="5669915" cy="7581900"/>
                          </a:xfrm>
                          <a:prstGeom prst="rect">
                            <a:avLst/>
                          </a:prstGeom>
                          <a:noFill/>
                          <a:ln>
                            <a:noFill/>
                          </a:ln>
                        </pic:spPr>
                      </pic:pic>
                    </a:graphicData>
                  </a:graphic>
                </wp:inline>
              </w:drawing>
            </w:r>
          </w:p>
          <w:p>
            <w:pPr>
              <w:jc w:val="center"/>
              <w:rPr>
                <w:rFonts w:hint="eastAsia"/>
                <w:b/>
                <w:bCs/>
                <w:sz w:val="24"/>
              </w:rPr>
            </w:pPr>
            <w:r>
              <w:rPr>
                <w:rFonts w:hint="eastAsia"/>
                <w:b/>
                <w:sz w:val="24"/>
                <w:szCs w:val="20"/>
                <w:lang w:val="zh-CN"/>
              </w:rPr>
              <w:t>图</w:t>
            </w:r>
            <w:r>
              <w:rPr>
                <w:rFonts w:hint="eastAsia"/>
                <w:b/>
                <w:sz w:val="24"/>
                <w:szCs w:val="20"/>
              </w:rPr>
              <w:t>1.1</w:t>
            </w:r>
            <w:r>
              <w:rPr>
                <w:b/>
                <w:sz w:val="24"/>
                <w:szCs w:val="20"/>
                <w:lang w:val="zh-CN"/>
              </w:rPr>
              <w:t xml:space="preserve"> </w:t>
            </w:r>
            <w:r>
              <w:rPr>
                <w:rFonts w:hint="eastAsia"/>
                <w:b/>
                <w:sz w:val="24"/>
                <w:szCs w:val="20"/>
              </w:rPr>
              <w:t xml:space="preserve"> </w:t>
            </w:r>
            <w:r>
              <w:rPr>
                <w:rFonts w:hint="eastAsia"/>
                <w:b/>
                <w:sz w:val="24"/>
                <w:szCs w:val="20"/>
                <w:lang w:val="zh-CN"/>
              </w:rPr>
              <w:t>项目生产工艺流程及产污节点图</w:t>
            </w:r>
          </w:p>
          <w:p>
            <w:pPr>
              <w:spacing w:line="360" w:lineRule="auto"/>
              <w:rPr>
                <w:b/>
                <w:bCs/>
                <w:sz w:val="24"/>
              </w:rPr>
            </w:pPr>
          </w:p>
          <w:p>
            <w:pPr>
              <w:spacing w:line="360" w:lineRule="auto"/>
              <w:rPr>
                <w:sz w:val="24"/>
              </w:rPr>
            </w:pPr>
            <w:r>
              <w:rPr>
                <w:b/>
                <w:bCs/>
                <w:sz w:val="24"/>
              </w:rPr>
              <w:t>工艺流程简述：</w:t>
            </w:r>
          </w:p>
          <w:p>
            <w:pPr>
              <w:pStyle w:val="2"/>
              <w:ind w:firstLine="480" w:firstLineChars="200"/>
              <w:rPr>
                <w:rFonts w:hint="eastAsia" w:ascii="Times New Roman" w:cs="Times New Roman"/>
                <w:b w:val="0"/>
                <w:bCs/>
              </w:rPr>
            </w:pPr>
            <w:r>
              <w:rPr>
                <w:rFonts w:ascii="Times New Roman" w:cs="Times New Roman"/>
                <w:b w:val="0"/>
                <w:bCs/>
              </w:rPr>
              <w:t>（1）</w:t>
            </w:r>
            <w:r>
              <w:rPr>
                <w:rFonts w:hint="eastAsia" w:ascii="Times New Roman" w:cs="Times New Roman"/>
                <w:b w:val="0"/>
                <w:bCs/>
              </w:rPr>
              <w:t>下料</w:t>
            </w:r>
          </w:p>
          <w:p>
            <w:pPr>
              <w:pStyle w:val="4"/>
              <w:spacing w:line="360" w:lineRule="auto"/>
              <w:ind w:firstLine="480" w:firstLineChars="200"/>
              <w:rPr>
                <w:rFonts w:ascii="Times New Roman"/>
                <w:sz w:val="24"/>
              </w:rPr>
            </w:pPr>
            <w:r>
              <w:rPr>
                <w:rFonts w:ascii="Times New Roman"/>
                <w:sz w:val="24"/>
              </w:rPr>
              <w:t>在</w:t>
            </w:r>
            <w:r>
              <w:rPr>
                <w:rFonts w:hint="eastAsia" w:ascii="Times New Roman"/>
                <w:sz w:val="24"/>
              </w:rPr>
              <w:t>推台锯、单片锯</w:t>
            </w:r>
            <w:r>
              <w:rPr>
                <w:rFonts w:ascii="Times New Roman"/>
                <w:sz w:val="24"/>
              </w:rPr>
              <w:t>上进行</w:t>
            </w:r>
            <w:r>
              <w:rPr>
                <w:rFonts w:hint="eastAsia" w:ascii="Times New Roman"/>
                <w:sz w:val="24"/>
              </w:rPr>
              <w:t>下料</w:t>
            </w:r>
            <w:r>
              <w:rPr>
                <w:rFonts w:ascii="Times New Roman"/>
                <w:sz w:val="24"/>
              </w:rPr>
              <w:t>，先纵向裁边，后横向裁边，使之成为一定规格的板材，此工段产生的污染源主要为</w:t>
            </w:r>
            <w:r>
              <w:rPr>
                <w:rFonts w:ascii="Times New Roman"/>
                <w:kern w:val="24"/>
                <w:sz w:val="24"/>
              </w:rPr>
              <w:t>木工粉尘</w:t>
            </w:r>
            <w:r>
              <w:rPr>
                <w:rFonts w:ascii="Times New Roman"/>
                <w:sz w:val="24"/>
              </w:rPr>
              <w:t>（G2）、噪声（N）以及木屑边角料（S1）；</w:t>
            </w:r>
          </w:p>
          <w:p>
            <w:pPr>
              <w:pStyle w:val="4"/>
              <w:numPr>
                <w:ilvl w:val="0"/>
                <w:numId w:val="2"/>
              </w:numPr>
              <w:spacing w:line="360" w:lineRule="auto"/>
              <w:ind w:firstLine="480" w:firstLineChars="200"/>
              <w:rPr>
                <w:rFonts w:hint="eastAsia" w:ascii="Times New Roman"/>
                <w:sz w:val="24"/>
              </w:rPr>
            </w:pPr>
            <w:r>
              <w:rPr>
                <w:rFonts w:hint="eastAsia" w:ascii="Times New Roman"/>
                <w:sz w:val="24"/>
              </w:rPr>
              <w:t>成型</w:t>
            </w:r>
          </w:p>
          <w:p>
            <w:pPr>
              <w:pStyle w:val="4"/>
              <w:spacing w:line="360" w:lineRule="auto"/>
              <w:ind w:left="0" w:leftChars="0" w:firstLine="480" w:firstLineChars="200"/>
              <w:rPr>
                <w:rFonts w:ascii="Times New Roman"/>
                <w:sz w:val="24"/>
              </w:rPr>
            </w:pPr>
            <w:r>
              <w:rPr>
                <w:rFonts w:hint="eastAsia" w:ascii="Times New Roman"/>
                <w:sz w:val="24"/>
              </w:rPr>
              <w:t>使用平刨机、双面刨、打孔机、立铣机、数控车床等设备对</w:t>
            </w:r>
            <w:r>
              <w:rPr>
                <w:sz w:val="24"/>
              </w:rPr>
              <w:t>木料进行</w:t>
            </w:r>
            <w:r>
              <w:rPr>
                <w:rFonts w:hint="eastAsia"/>
                <w:sz w:val="24"/>
              </w:rPr>
              <w:t>刨料、打孔、立铣、仿型等</w:t>
            </w:r>
            <w:r>
              <w:rPr>
                <w:sz w:val="24"/>
              </w:rPr>
              <w:t>造型</w:t>
            </w:r>
            <w:r>
              <w:rPr>
                <w:rFonts w:hint="eastAsia" w:ascii="Times New Roman"/>
                <w:sz w:val="24"/>
              </w:rPr>
              <w:t>，按图纸要求对板材进行加工。</w:t>
            </w:r>
            <w:r>
              <w:rPr>
                <w:rFonts w:ascii="Times New Roman"/>
                <w:sz w:val="24"/>
              </w:rPr>
              <w:t>此工段产生的污染源主要为</w:t>
            </w:r>
            <w:r>
              <w:rPr>
                <w:rFonts w:ascii="Times New Roman"/>
                <w:kern w:val="24"/>
                <w:sz w:val="24"/>
              </w:rPr>
              <w:t>木工粉尘</w:t>
            </w:r>
            <w:r>
              <w:rPr>
                <w:rFonts w:ascii="Times New Roman"/>
                <w:sz w:val="24"/>
              </w:rPr>
              <w:t>（G2）、噪声（N）以及木屑边角料（S1）；</w:t>
            </w:r>
          </w:p>
          <w:p>
            <w:pPr>
              <w:pStyle w:val="4"/>
              <w:spacing w:line="360" w:lineRule="auto"/>
              <w:ind w:firstLine="480" w:firstLineChars="200"/>
              <w:rPr>
                <w:rFonts w:hint="eastAsia" w:ascii="Times New Roman"/>
                <w:sz w:val="24"/>
              </w:rPr>
            </w:pPr>
            <w:r>
              <w:rPr>
                <w:rFonts w:hint="eastAsia" w:ascii="Times New Roman"/>
                <w:sz w:val="24"/>
              </w:rPr>
              <w:t>（3）拼装</w:t>
            </w:r>
          </w:p>
          <w:p>
            <w:pPr>
              <w:pStyle w:val="4"/>
              <w:spacing w:line="360" w:lineRule="auto"/>
              <w:ind w:left="0" w:leftChars="0" w:firstLine="480" w:firstLineChars="200"/>
              <w:rPr>
                <w:rFonts w:hint="eastAsia" w:ascii="Times New Roman"/>
                <w:sz w:val="24"/>
              </w:rPr>
            </w:pPr>
            <w:r>
              <w:rPr>
                <w:rFonts w:hint="eastAsia" w:ascii="Times New Roman"/>
                <w:sz w:val="24"/>
              </w:rPr>
              <w:t>将各部件初步拼装成型。拼装过程中使用冷压机进行拼装，此过程产生少量的有机废气（G3）、木工胶废包装桶（S4）及设备噪声（N）。</w:t>
            </w:r>
          </w:p>
          <w:p>
            <w:pPr>
              <w:pStyle w:val="4"/>
              <w:spacing w:line="360" w:lineRule="auto"/>
              <w:ind w:firstLine="480" w:firstLineChars="200"/>
              <w:rPr>
                <w:rFonts w:hint="eastAsia" w:ascii="Times New Roman"/>
                <w:sz w:val="24"/>
              </w:rPr>
            </w:pPr>
            <w:r>
              <w:rPr>
                <w:rFonts w:hint="eastAsia" w:ascii="Times New Roman"/>
                <w:sz w:val="24"/>
              </w:rPr>
              <w:t>（4）打磨</w:t>
            </w:r>
          </w:p>
          <w:p>
            <w:pPr>
              <w:pStyle w:val="4"/>
              <w:spacing w:line="360" w:lineRule="auto"/>
              <w:ind w:left="0" w:leftChars="0" w:firstLine="480" w:firstLineChars="200"/>
              <w:rPr>
                <w:rFonts w:hint="eastAsia" w:ascii="Times New Roman"/>
                <w:sz w:val="24"/>
              </w:rPr>
            </w:pPr>
            <w:r>
              <w:rPr>
                <w:rFonts w:hint="eastAsia" w:ascii="Times New Roman"/>
                <w:sz w:val="24"/>
              </w:rPr>
              <w:t>将初步拼装成型后的工件用打磨设备进行打磨。此过程会产生少量的</w:t>
            </w:r>
            <w:r>
              <w:rPr>
                <w:rFonts w:ascii="Times New Roman"/>
                <w:kern w:val="24"/>
                <w:sz w:val="24"/>
              </w:rPr>
              <w:t>木工粉尘</w:t>
            </w:r>
            <w:r>
              <w:rPr>
                <w:rFonts w:ascii="Times New Roman"/>
                <w:sz w:val="24"/>
              </w:rPr>
              <w:t>（G2）、噪声（N）</w:t>
            </w:r>
            <w:r>
              <w:rPr>
                <w:rFonts w:hint="eastAsia" w:ascii="Times New Roman"/>
                <w:sz w:val="24"/>
              </w:rPr>
              <w:t>。</w:t>
            </w:r>
          </w:p>
          <w:p>
            <w:pPr>
              <w:pStyle w:val="4"/>
              <w:spacing w:line="360" w:lineRule="auto"/>
              <w:ind w:firstLine="480" w:firstLineChars="200"/>
              <w:rPr>
                <w:rFonts w:hint="eastAsia" w:ascii="Times New Roman"/>
                <w:sz w:val="24"/>
              </w:rPr>
            </w:pPr>
            <w:r>
              <w:rPr>
                <w:rFonts w:hint="eastAsia" w:ascii="Times New Roman"/>
                <w:sz w:val="24"/>
              </w:rPr>
              <w:t>（5）贴皮</w:t>
            </w:r>
          </w:p>
          <w:p>
            <w:pPr>
              <w:pStyle w:val="4"/>
              <w:spacing w:line="360" w:lineRule="auto"/>
              <w:ind w:firstLine="480" w:firstLineChars="200"/>
              <w:rPr>
                <w:rFonts w:ascii="Times New Roman"/>
                <w:sz w:val="24"/>
              </w:rPr>
            </w:pPr>
            <w:r>
              <w:rPr>
                <w:rFonts w:ascii="Times New Roman"/>
                <w:sz w:val="24"/>
              </w:rPr>
              <w:t>经打磨后工件需使用木工胶贴木皮，并使用冷压机进行拼装，此过程产生少量的有机废气（G3）、废木皮（S3）、木工胶废包装桶（S4）及设备噪声N。</w:t>
            </w:r>
          </w:p>
          <w:p>
            <w:pPr>
              <w:pStyle w:val="4"/>
              <w:spacing w:line="360" w:lineRule="auto"/>
              <w:ind w:firstLine="480" w:firstLineChars="200"/>
              <w:rPr>
                <w:rFonts w:hint="eastAsia" w:ascii="Times New Roman"/>
                <w:sz w:val="24"/>
              </w:rPr>
            </w:pPr>
            <w:r>
              <w:rPr>
                <w:rFonts w:hint="eastAsia" w:ascii="Times New Roman"/>
                <w:sz w:val="24"/>
              </w:rPr>
              <w:t>（6）砂光</w:t>
            </w:r>
          </w:p>
          <w:p>
            <w:pPr>
              <w:pStyle w:val="4"/>
              <w:spacing w:line="360" w:lineRule="auto"/>
              <w:ind w:firstLine="480" w:firstLineChars="200"/>
              <w:rPr>
                <w:rFonts w:hint="eastAsia" w:ascii="Times New Roman"/>
                <w:sz w:val="24"/>
              </w:rPr>
            </w:pPr>
            <w:r>
              <w:rPr>
                <w:rFonts w:hint="eastAsia" w:ascii="Times New Roman"/>
                <w:sz w:val="24"/>
              </w:rPr>
              <w:t>经贴皮后的规格板材，在砂光机上进行双面砂光，以保证产品的厚度精度和表面光洁度，此工段产生的污染源主要为木工粉尘（G2）、噪声（N）以及木屑边角料（S1）；</w:t>
            </w:r>
          </w:p>
          <w:p>
            <w:pPr>
              <w:pStyle w:val="4"/>
              <w:spacing w:line="360" w:lineRule="auto"/>
              <w:ind w:firstLine="480" w:firstLineChars="200"/>
              <w:rPr>
                <w:rFonts w:ascii="Times New Roman"/>
                <w:color w:val="000000"/>
                <w:sz w:val="24"/>
              </w:rPr>
            </w:pPr>
            <w:r>
              <w:rPr>
                <w:rFonts w:hint="eastAsia" w:ascii="Times New Roman"/>
                <w:color w:val="000000"/>
                <w:sz w:val="24"/>
              </w:rPr>
              <w:t>（7）涂装加工</w:t>
            </w:r>
          </w:p>
          <w:p>
            <w:pPr>
              <w:pStyle w:val="4"/>
              <w:spacing w:line="360" w:lineRule="auto"/>
              <w:ind w:firstLine="480" w:firstLineChars="200"/>
              <w:rPr>
                <w:rFonts w:hint="eastAsia" w:ascii="Times New Roman"/>
                <w:color w:val="000000"/>
                <w:sz w:val="24"/>
              </w:rPr>
            </w:pPr>
            <w:r>
              <w:rPr>
                <w:rFonts w:hint="eastAsia" w:ascii="Times New Roman"/>
                <w:color w:val="000000"/>
                <w:sz w:val="24"/>
              </w:rPr>
              <w:t>项目喷漆前先进行人工调漆，调漆、喷漆工段在喷底漆房内进行，项目在喷底漆房内使用喷枪喷底漆，使用的是水性漆。底漆喷涂完成后放置于</w:t>
            </w:r>
            <w:r>
              <w:rPr>
                <w:rFonts w:hint="eastAsia" w:ascii="Times New Roman"/>
                <w:color w:val="000000"/>
                <w:sz w:val="24"/>
                <w:lang w:eastAsia="zh-CN"/>
              </w:rPr>
              <w:t>封闭</w:t>
            </w:r>
            <w:r>
              <w:rPr>
                <w:rFonts w:hint="eastAsia" w:ascii="Times New Roman"/>
                <w:color w:val="000000"/>
                <w:sz w:val="24"/>
              </w:rPr>
              <w:t>晾干房内自然晾干，晾干后将喷漆件放入喷漆件打磨间内进行打磨，打磨间内设4个打磨平台，打磨完成后在喷面漆房内使用喷枪喷面漆，使用的是油性漆。面漆喷涂完成后在</w:t>
            </w:r>
            <w:r>
              <w:rPr>
                <w:rFonts w:hint="eastAsia" w:ascii="Times New Roman"/>
                <w:color w:val="000000"/>
                <w:sz w:val="24"/>
                <w:lang w:eastAsia="zh-CN"/>
              </w:rPr>
              <w:t>封闭</w:t>
            </w:r>
            <w:r>
              <w:rPr>
                <w:rFonts w:hint="eastAsia" w:ascii="Times New Roman"/>
                <w:color w:val="000000"/>
                <w:sz w:val="24"/>
              </w:rPr>
              <w:t>房内进行</w:t>
            </w:r>
            <w:r>
              <w:rPr>
                <w:rFonts w:hint="eastAsia"/>
                <w:color w:val="000000"/>
                <w:sz w:val="24"/>
                <w:lang w:eastAsia="zh-CN"/>
              </w:rPr>
              <w:t>晾干</w:t>
            </w:r>
            <w:r>
              <w:rPr>
                <w:rFonts w:hint="eastAsia" w:ascii="Times New Roman"/>
                <w:color w:val="000000"/>
                <w:sz w:val="24"/>
              </w:rPr>
              <w:t>。此工段产生的污染源主要为有机废气（G1，以VOC</w:t>
            </w:r>
            <w:r>
              <w:rPr>
                <w:rFonts w:hint="eastAsia" w:ascii="Times New Roman"/>
                <w:color w:val="000000"/>
                <w:sz w:val="24"/>
                <w:vertAlign w:val="subscript"/>
              </w:rPr>
              <w:t>S</w:t>
            </w:r>
            <w:r>
              <w:rPr>
                <w:rFonts w:hint="eastAsia" w:ascii="Times New Roman"/>
                <w:color w:val="000000"/>
                <w:sz w:val="24"/>
              </w:rPr>
              <w:t>表征）、噪声（N）、</w:t>
            </w:r>
            <w:r>
              <w:rPr>
                <w:rFonts w:ascii="Times New Roman"/>
                <w:sz w:val="24"/>
              </w:rPr>
              <w:t>漆磨粉尘（G</w:t>
            </w:r>
            <w:r>
              <w:rPr>
                <w:rFonts w:hint="eastAsia" w:ascii="Times New Roman"/>
                <w:sz w:val="24"/>
              </w:rPr>
              <w:t>4</w:t>
            </w:r>
            <w:r>
              <w:rPr>
                <w:rFonts w:ascii="Times New Roman"/>
                <w:sz w:val="24"/>
              </w:rPr>
              <w:t>）</w:t>
            </w:r>
            <w:r>
              <w:rPr>
                <w:rFonts w:hint="eastAsia"/>
                <w:sz w:val="24"/>
              </w:rPr>
              <w:t>、</w:t>
            </w:r>
            <w:r>
              <w:rPr>
                <w:rFonts w:hint="eastAsia" w:ascii="Times New Roman"/>
                <w:color w:val="000000"/>
                <w:sz w:val="24"/>
              </w:rPr>
              <w:t>漆雾颗粒（G3）以及漆渣（S2）；</w:t>
            </w:r>
          </w:p>
          <w:p>
            <w:pPr>
              <w:spacing w:line="360" w:lineRule="auto"/>
              <w:ind w:firstLine="480"/>
              <w:rPr>
                <w:rFonts w:hint="eastAsia"/>
                <w:sz w:val="24"/>
              </w:rPr>
            </w:pPr>
            <w:r>
              <w:rPr>
                <w:rFonts w:hint="eastAsia"/>
                <w:color w:val="000000"/>
                <w:sz w:val="24"/>
              </w:rPr>
              <w:t>本项目</w:t>
            </w:r>
            <w:r>
              <w:rPr>
                <w:rFonts w:hint="eastAsia"/>
                <w:sz w:val="24"/>
              </w:rPr>
              <w:t>设置专用封闭打磨间、喷漆房、晾干房、烤漆房，并分别配套负压集气系统，其中喷漆房设置水帘+干式过滤棉层对漆雾颗粒进行干燥吸收后引入1套二级活性炭吸附处理系统处理后最终由1根15m排气筒有组织排放。喷漆件</w:t>
            </w:r>
            <w:r>
              <w:rPr>
                <w:sz w:val="24"/>
              </w:rPr>
              <w:t>打磨</w:t>
            </w:r>
            <w:r>
              <w:rPr>
                <w:rFonts w:hint="eastAsia"/>
                <w:sz w:val="24"/>
              </w:rPr>
              <w:t>间产生的漆磨粉尘负压收集后</w:t>
            </w:r>
            <w:r>
              <w:rPr>
                <w:rFonts w:hint="eastAsia"/>
                <w:sz w:val="24"/>
                <w:lang w:eastAsia="zh-CN"/>
              </w:rPr>
              <w:t>经水</w:t>
            </w:r>
            <w:r>
              <w:rPr>
                <w:rFonts w:hint="eastAsia"/>
                <w:sz w:val="24"/>
              </w:rPr>
              <w:t>处理。</w:t>
            </w:r>
          </w:p>
          <w:p>
            <w:pPr>
              <w:pStyle w:val="4"/>
              <w:spacing w:line="360" w:lineRule="auto"/>
              <w:ind w:firstLine="480" w:firstLineChars="200"/>
              <w:rPr>
                <w:rFonts w:hint="eastAsia" w:ascii="Times New Roman"/>
                <w:sz w:val="24"/>
              </w:rPr>
            </w:pPr>
            <w:r>
              <w:rPr>
                <w:rFonts w:hint="eastAsia" w:ascii="Times New Roman"/>
                <w:sz w:val="24"/>
              </w:rPr>
              <w:t>（9）检验入库</w:t>
            </w:r>
          </w:p>
          <w:p>
            <w:pPr>
              <w:pStyle w:val="4"/>
              <w:spacing w:line="360" w:lineRule="auto"/>
              <w:ind w:firstLine="480" w:firstLineChars="200"/>
              <w:rPr>
                <w:rFonts w:ascii="Times New Roman"/>
                <w:sz w:val="24"/>
              </w:rPr>
            </w:pPr>
            <w:r>
              <w:rPr>
                <w:rFonts w:hint="eastAsia" w:ascii="Times New Roman"/>
                <w:sz w:val="24"/>
              </w:rPr>
              <w:t>经检验合格后包装入库，不合格产品（S3）送至一般工业固废暂存间存放，定期外售。</w:t>
            </w:r>
          </w:p>
          <w:p>
            <w:pPr>
              <w:spacing w:line="360" w:lineRule="auto"/>
              <w:ind w:firstLine="482" w:firstLineChars="200"/>
              <w:rPr>
                <w:rFonts w:cs="Times New Roman"/>
                <w:b/>
                <w:sz w:val="24"/>
              </w:rPr>
            </w:pPr>
            <w:r>
              <w:rPr>
                <w:rFonts w:hint="eastAsia" w:cs="Times New Roman"/>
                <w:b/>
                <w:sz w:val="24"/>
              </w:rPr>
              <w:t>2</w:t>
            </w:r>
            <w:r>
              <w:rPr>
                <w:rFonts w:cs="Times New Roman"/>
                <w:b/>
                <w:sz w:val="24"/>
              </w:rPr>
              <w:t>、项目变动情况</w:t>
            </w:r>
          </w:p>
          <w:p>
            <w:pPr>
              <w:spacing w:line="520" w:lineRule="exact"/>
              <w:ind w:firstLine="480" w:firstLineChars="200"/>
              <w:rPr>
                <w:rFonts w:cs="Times New Roman"/>
                <w:color w:val="000000" w:themeColor="text1"/>
                <w:sz w:val="24"/>
                <w14:textFill>
                  <w14:solidFill>
                    <w14:schemeClr w14:val="tx1"/>
                  </w14:solidFill>
                </w14:textFill>
              </w:rPr>
            </w:pPr>
            <w:r>
              <w:rPr>
                <w:rFonts w:hint="eastAsia" w:cs="Times New Roman"/>
                <w:color w:val="000000" w:themeColor="text1"/>
                <w:sz w:val="24"/>
                <w14:textFill>
                  <w14:solidFill>
                    <w14:schemeClr w14:val="tx1"/>
                  </w14:solidFill>
                </w14:textFill>
              </w:rPr>
              <w:t>根据《关于印发&lt;污染影响类建设项目重大变动清单（试行）&gt;的通知》（环办环评函〔2020〕688号），对项目是否涉及重大变动判定如下：</w:t>
            </w:r>
          </w:p>
          <w:p>
            <w:pPr>
              <w:spacing w:line="520" w:lineRule="exact"/>
              <w:jc w:val="center"/>
              <w:rPr>
                <w:rFonts w:cs="Times New Roman"/>
                <w:b/>
                <w:bCs/>
                <w:color w:val="000000" w:themeColor="text1"/>
                <w:sz w:val="24"/>
                <w14:textFill>
                  <w14:solidFill>
                    <w14:schemeClr w14:val="tx1"/>
                  </w14:solidFill>
                </w14:textFill>
              </w:rPr>
            </w:pPr>
            <w:r>
              <w:rPr>
                <w:rFonts w:hint="eastAsia" w:cs="Times New Roman"/>
                <w:b/>
                <w:bCs/>
                <w:color w:val="000000" w:themeColor="text1"/>
                <w:sz w:val="24"/>
                <w14:textFill>
                  <w14:solidFill>
                    <w14:schemeClr w14:val="tx1"/>
                  </w14:solidFill>
                </w14:textFill>
              </w:rPr>
              <w:t>表2.5 项目变动情况分析表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4433"/>
              <w:gridCol w:w="2672"/>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279" w:type="dxa"/>
                  <w:gridSpan w:val="2"/>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《关于印发&lt;污染影响类建设项目重大变动清单（试行）&gt;的通知》（环办环评函〔2020〕688号）</w:t>
                  </w:r>
                  <w:r>
                    <w:rPr>
                      <w:rFonts w:hint="eastAsia" w:ascii="Times New Roman" w:hAnsi="Times New Roman" w:cs="Times New Roman"/>
                      <w:b/>
                      <w:bCs/>
                      <w:color w:val="000000" w:themeColor="text1"/>
                      <w:sz w:val="21"/>
                      <w:szCs w:val="21"/>
                      <w14:textFill>
                        <w14:solidFill>
                          <w14:schemeClr w14:val="tx1"/>
                        </w14:solidFill>
                      </w14:textFill>
                    </w:rPr>
                    <w:t>中属于重大变动的规定内容</w:t>
                  </w:r>
                </w:p>
              </w:tc>
              <w:tc>
                <w:tcPr>
                  <w:tcW w:w="2672" w:type="dxa"/>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本项目实际情况</w:t>
                  </w:r>
                </w:p>
              </w:tc>
              <w:tc>
                <w:tcPr>
                  <w:tcW w:w="1111" w:type="dxa"/>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noWrap/>
                  <w:vAlign w:val="center"/>
                </w:tcPr>
                <w:p>
                  <w:pPr>
                    <w:pStyle w:val="38"/>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一、</w:t>
                  </w:r>
                </w:p>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性质</w:t>
                  </w:r>
                </w:p>
              </w:tc>
              <w:tc>
                <w:tcPr>
                  <w:tcW w:w="4433"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1、建设项目开发、使用功能发生变化的</w:t>
                  </w:r>
                </w:p>
              </w:tc>
              <w:tc>
                <w:tcPr>
                  <w:tcW w:w="2672" w:type="dxa"/>
                  <w:noWrap/>
                  <w:vAlign w:val="center"/>
                </w:tcPr>
                <w:p>
                  <w:pPr>
                    <w:pStyle w:val="38"/>
                    <w:spacing w:line="240" w:lineRule="auto"/>
                    <w:ind w:firstLine="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项目属于新建项目，</w:t>
                  </w:r>
                  <w:r>
                    <w:rPr>
                      <w:rFonts w:hint="eastAsia" w:ascii="Times New Roman" w:hAnsi="Times New Roman" w:cs="Times New Roman"/>
                      <w:color w:val="000000" w:themeColor="text1"/>
                      <w:sz w:val="21"/>
                      <w:szCs w:val="21"/>
                      <w14:textFill>
                        <w14:solidFill>
                          <w14:schemeClr w14:val="tx1"/>
                        </w14:solidFill>
                      </w14:textFill>
                    </w:rPr>
                    <w:t>项目开发、使用功能</w:t>
                  </w:r>
                  <w:r>
                    <w:rPr>
                      <w:rFonts w:hint="eastAsia" w:ascii="Times New Roman" w:hAnsi="Times New Roman" w:cs="Times New Roman"/>
                      <w:color w:val="000000" w:themeColor="text1"/>
                      <w:sz w:val="21"/>
                      <w:szCs w:val="21"/>
                      <w:lang w:eastAsia="zh-CN"/>
                      <w14:textFill>
                        <w14:solidFill>
                          <w14:schemeClr w14:val="tx1"/>
                        </w14:solidFill>
                      </w14:textFill>
                    </w:rPr>
                    <w:t>未</w:t>
                  </w:r>
                  <w:r>
                    <w:rPr>
                      <w:rFonts w:hint="eastAsia" w:ascii="Times New Roman" w:hAnsi="Times New Roman" w:cs="Times New Roman"/>
                      <w:color w:val="000000" w:themeColor="text1"/>
                      <w:sz w:val="21"/>
                      <w:szCs w:val="21"/>
                      <w14:textFill>
                        <w14:solidFill>
                          <w14:schemeClr w14:val="tx1"/>
                        </w14:solidFill>
                      </w14:textFill>
                    </w:rPr>
                    <w:t>发生变化</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46" w:type="dxa"/>
                  <w:vMerge w:val="restart"/>
                  <w:noWrap/>
                  <w:vAlign w:val="center"/>
                </w:tcPr>
                <w:p>
                  <w:pPr>
                    <w:pStyle w:val="38"/>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二、</w:t>
                  </w:r>
                </w:p>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规模</w:t>
                  </w:r>
                </w:p>
              </w:tc>
              <w:tc>
                <w:tcPr>
                  <w:tcW w:w="4433"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2、生产、处置或储存能力增大30%及以上的</w:t>
                  </w:r>
                </w:p>
              </w:tc>
              <w:tc>
                <w:tcPr>
                  <w:tcW w:w="2672" w:type="dxa"/>
                  <w:vMerge w:val="restart"/>
                  <w:noWrap/>
                  <w:vAlign w:val="center"/>
                </w:tcPr>
                <w:p>
                  <w:pPr>
                    <w:pStyle w:val="38"/>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生产、处置或储存能力未</w:t>
                  </w:r>
                </w:p>
                <w:p>
                  <w:pPr>
                    <w:pStyle w:val="38"/>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增加</w:t>
                  </w:r>
                </w:p>
              </w:tc>
              <w:tc>
                <w:tcPr>
                  <w:tcW w:w="1111" w:type="dxa"/>
                  <w:vMerge w:val="restart"/>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3、生产、处置或储存能力增大，导致废水第一类污染物排放量增加的</w:t>
                  </w:r>
                </w:p>
              </w:tc>
              <w:tc>
                <w:tcPr>
                  <w:tcW w:w="2672" w:type="dxa"/>
                  <w:vMerge w:val="continue"/>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c>
                <w:tcPr>
                  <w:tcW w:w="1111" w:type="dxa"/>
                  <w:vMerge w:val="continue"/>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672" w:type="dxa"/>
                  <w:vMerge w:val="continue"/>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c>
                <w:tcPr>
                  <w:tcW w:w="1111" w:type="dxa"/>
                  <w:vMerge w:val="continue"/>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noWrap/>
                  <w:vAlign w:val="center"/>
                </w:tcPr>
                <w:p>
                  <w:pPr>
                    <w:pStyle w:val="38"/>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三、</w:t>
                  </w:r>
                </w:p>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地点</w:t>
                  </w:r>
                </w:p>
              </w:tc>
              <w:tc>
                <w:tcPr>
                  <w:tcW w:w="4433"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5、重新选址；在原厂址附近调整（包括总平面布置变化）导致环境防护距离范围变化且新增敏感点的</w:t>
                  </w:r>
                </w:p>
              </w:tc>
              <w:tc>
                <w:tcPr>
                  <w:tcW w:w="2672" w:type="dxa"/>
                  <w:noWrap/>
                  <w:vAlign w:val="center"/>
                </w:tcPr>
                <w:p>
                  <w:pPr>
                    <w:pStyle w:val="38"/>
                    <w:spacing w:line="240" w:lineRule="auto"/>
                    <w:ind w:firstLine="0"/>
                    <w:jc w:val="center"/>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未重新选址，地点未发生</w:t>
                  </w:r>
                </w:p>
                <w:p>
                  <w:pPr>
                    <w:pStyle w:val="38"/>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变化</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restart"/>
                  <w:noWrap/>
                  <w:vAlign w:val="center"/>
                </w:tcPr>
                <w:p>
                  <w:pPr>
                    <w:pStyle w:val="38"/>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四、</w:t>
                  </w:r>
                </w:p>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生产工艺</w:t>
                  </w:r>
                </w:p>
              </w:tc>
              <w:tc>
                <w:tcPr>
                  <w:tcW w:w="4433" w:type="dxa"/>
                  <w:noWrap/>
                  <w:vAlign w:val="center"/>
                </w:tcPr>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6、新增产品品种或生产工艺（含主要生产装置、设备及配套设施）、主要原辅材料、燃料变化，导致以下情形之一：</w:t>
                  </w:r>
                </w:p>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（1）新增排放污染物种类的（毒性、挥发性降低的除外）；</w:t>
                  </w:r>
                </w:p>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（2）位于环境质量不达标区的建设项目相应污染物排放量增加的；</w:t>
                  </w:r>
                </w:p>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（3）废水第一类污染物排放量增加的；</w:t>
                  </w:r>
                </w:p>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（4）其他污染物排放量增加10%及以上的</w:t>
                  </w:r>
                </w:p>
              </w:tc>
              <w:tc>
                <w:tcPr>
                  <w:tcW w:w="2672" w:type="dxa"/>
                  <w:noWrap/>
                  <w:vAlign w:val="center"/>
                </w:tcPr>
                <w:p>
                  <w:pPr>
                    <w:pStyle w:val="38"/>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项目</w:t>
                  </w:r>
                  <w:r>
                    <w:rPr>
                      <w:rFonts w:hint="eastAsia" w:ascii="Times New Roman" w:hAnsi="Times New Roman" w:cs="Times New Roman"/>
                      <w:color w:val="000000" w:themeColor="text1"/>
                      <w:sz w:val="21"/>
                      <w:szCs w:val="21"/>
                      <w14:textFill>
                        <w14:solidFill>
                          <w14:schemeClr w14:val="tx1"/>
                        </w14:solidFill>
                      </w14:textFill>
                    </w:rPr>
                    <w:t>产品品种或生产工艺、主要原辅材料</w:t>
                  </w:r>
                  <w:r>
                    <w:rPr>
                      <w:rFonts w:hint="eastAsia" w:ascii="Times New Roman" w:hAnsi="Times New Roman" w:cs="Times New Roman"/>
                      <w:color w:val="000000" w:themeColor="text1"/>
                      <w:sz w:val="21"/>
                      <w:szCs w:val="21"/>
                      <w:lang w:eastAsia="zh-CN"/>
                      <w14:textFill>
                        <w14:solidFill>
                          <w14:schemeClr w14:val="tx1"/>
                        </w14:solidFill>
                      </w14:textFill>
                    </w:rPr>
                    <w:t>均未发生变化</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7、物料运输、装卸、贮存方式变化，导致大气污染物无组织排放量增加10%及以上的</w:t>
                  </w:r>
                </w:p>
              </w:tc>
              <w:tc>
                <w:tcPr>
                  <w:tcW w:w="2672" w:type="dxa"/>
                  <w:noWrap/>
                  <w:vAlign w:val="center"/>
                </w:tcPr>
                <w:p>
                  <w:pPr>
                    <w:pStyle w:val="38"/>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未发生变化</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846" w:type="dxa"/>
                  <w:vMerge w:val="restart"/>
                  <w:noWrap/>
                  <w:vAlign w:val="center"/>
                </w:tcPr>
                <w:p>
                  <w:pPr>
                    <w:pStyle w:val="38"/>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五、</w:t>
                  </w:r>
                </w:p>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环境保护措施</w:t>
                  </w:r>
                </w:p>
              </w:tc>
              <w:tc>
                <w:tcPr>
                  <w:tcW w:w="4433" w:type="dxa"/>
                  <w:noWrap/>
                  <w:vAlign w:val="center"/>
                </w:tcPr>
                <w:p>
                  <w:pPr>
                    <w:pStyle w:val="38"/>
                    <w:spacing w:line="240" w:lineRule="auto"/>
                    <w:ind w:firstLine="0"/>
                    <w:rPr>
                      <w:color w:val="auto"/>
                    </w:rPr>
                  </w:pPr>
                  <w:r>
                    <w:rPr>
                      <w:rFonts w:hint="eastAsia"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672" w:type="dxa"/>
                  <w:noWrap/>
                  <w:vAlign w:val="center"/>
                </w:tcPr>
                <w:p>
                  <w:pPr>
                    <w:pStyle w:val="38"/>
                    <w:spacing w:line="240" w:lineRule="auto"/>
                    <w:ind w:firstLine="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项目废气</w:t>
                  </w:r>
                  <w:r>
                    <w:rPr>
                      <w:rFonts w:hint="eastAsia" w:ascii="Times New Roman" w:hAnsi="Times New Roman" w:cs="Times New Roman"/>
                      <w:color w:val="auto"/>
                      <w:sz w:val="21"/>
                      <w:szCs w:val="21"/>
                    </w:rPr>
                    <w:t>污染防治措施变化，</w:t>
                  </w:r>
                  <w:r>
                    <w:rPr>
                      <w:rFonts w:hint="eastAsia" w:ascii="Times New Roman" w:hAnsi="Times New Roman" w:cs="Times New Roman"/>
                      <w:color w:val="auto"/>
                      <w:sz w:val="21"/>
                      <w:szCs w:val="21"/>
                      <w:lang w:eastAsia="zh-CN"/>
                    </w:rPr>
                    <w:t>但未</w:t>
                  </w:r>
                  <w:r>
                    <w:rPr>
                      <w:rFonts w:hint="eastAsia" w:ascii="Times New Roman" w:hAnsi="Times New Roman" w:cs="Times New Roman"/>
                      <w:color w:val="auto"/>
                      <w:sz w:val="21"/>
                      <w:szCs w:val="21"/>
                    </w:rPr>
                    <w:t>导致第6条中所列情形之一</w:t>
                  </w:r>
                  <w:r>
                    <w:rPr>
                      <w:rFonts w:hint="eastAsia" w:ascii="Times New Roman" w:hAnsi="Times New Roman" w:cs="Times New Roman"/>
                      <w:color w:val="auto"/>
                      <w:sz w:val="21"/>
                      <w:szCs w:val="21"/>
                      <w:lang w:eastAsia="zh-CN"/>
                    </w:rPr>
                    <w:t>，且经计算</w:t>
                  </w:r>
                  <w:r>
                    <w:rPr>
                      <w:rFonts w:hint="eastAsia" w:ascii="Times New Roman" w:hAnsi="Times New Roman" w:cs="Times New Roman"/>
                      <w:color w:val="auto"/>
                      <w:sz w:val="21"/>
                      <w:szCs w:val="21"/>
                    </w:rPr>
                    <w:t>大气污染物无组织排放量</w:t>
                  </w:r>
                  <w:r>
                    <w:rPr>
                      <w:rFonts w:hint="eastAsia" w:ascii="Times New Roman" w:hAnsi="Times New Roman" w:cs="Times New Roman"/>
                      <w:color w:val="auto"/>
                      <w:sz w:val="21"/>
                      <w:szCs w:val="21"/>
                      <w:lang w:eastAsia="zh-CN"/>
                    </w:rPr>
                    <w:t>未</w:t>
                  </w:r>
                  <w:r>
                    <w:rPr>
                      <w:rFonts w:hint="eastAsia" w:ascii="Times New Roman" w:hAnsi="Times New Roman" w:cs="Times New Roman"/>
                      <w:color w:val="auto"/>
                      <w:sz w:val="21"/>
                      <w:szCs w:val="21"/>
                    </w:rPr>
                    <w:t>增加10%及以上</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9、新增废水直接排放口；废水由间接排放改为直接排放；废水直接排放口位置变化，导致不利环境影响加重的</w:t>
                  </w:r>
                </w:p>
              </w:tc>
              <w:tc>
                <w:tcPr>
                  <w:tcW w:w="2672" w:type="dxa"/>
                  <w:noWrap/>
                  <w:vAlign w:val="center"/>
                </w:tcPr>
                <w:p>
                  <w:pPr>
                    <w:pStyle w:val="38"/>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未新增</w:t>
                  </w:r>
                  <w:r>
                    <w:rPr>
                      <w:rFonts w:hint="eastAsia" w:ascii="Times New Roman" w:hAnsi="Times New Roman" w:cs="Times New Roman"/>
                      <w:color w:val="000000" w:themeColor="text1"/>
                      <w:sz w:val="21"/>
                      <w:szCs w:val="21"/>
                      <w14:textFill>
                        <w14:solidFill>
                          <w14:schemeClr w14:val="tx1"/>
                        </w14:solidFill>
                      </w14:textFill>
                    </w:rPr>
                    <w:t>废水直接排放口</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10、新增废气主要排放口（废气无组织排放改为有组织排放的除外）；主要排放口排气筒高度降低10%及以上的</w:t>
                  </w:r>
                </w:p>
              </w:tc>
              <w:tc>
                <w:tcPr>
                  <w:tcW w:w="2672" w:type="dxa"/>
                  <w:noWrap/>
                  <w:vAlign w:val="center"/>
                </w:tcPr>
                <w:p>
                  <w:pPr>
                    <w:pStyle w:val="38"/>
                    <w:spacing w:line="240" w:lineRule="auto"/>
                    <w:ind w:firstLine="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项目未</w:t>
                  </w:r>
                  <w:r>
                    <w:rPr>
                      <w:rFonts w:hint="eastAsia" w:ascii="Times New Roman" w:hAnsi="Times New Roman" w:cs="Times New Roman"/>
                      <w:color w:val="000000" w:themeColor="text1"/>
                      <w:sz w:val="21"/>
                      <w:szCs w:val="21"/>
                      <w14:textFill>
                        <w14:solidFill>
                          <w14:schemeClr w14:val="tx1"/>
                        </w14:solidFill>
                      </w14:textFill>
                    </w:rPr>
                    <w:t>新增废气主要排放口</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11、噪声、土壤或地下水污染防治措施变化，导致不利环境影响加重的</w:t>
                  </w:r>
                </w:p>
              </w:tc>
              <w:tc>
                <w:tcPr>
                  <w:tcW w:w="2672"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auto"/>
                      <w:sz w:val="21"/>
                      <w:szCs w:val="21"/>
                      <w:lang w:eastAsia="zh-CN"/>
                    </w:rPr>
                    <w:t>未发生变化</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12、固体废物利用处置方式由委托外单位利用处置改为自行利用处置的（自行利用处置设施单独开展环境影响评价的除外）；固体废物自行处置方式变化，导致不利环境影响加重的</w:t>
                  </w:r>
                </w:p>
              </w:tc>
              <w:tc>
                <w:tcPr>
                  <w:tcW w:w="2672" w:type="dxa"/>
                  <w:noWrap/>
                  <w:vAlign w:val="center"/>
                </w:tcPr>
                <w:p>
                  <w:pPr>
                    <w:pStyle w:val="38"/>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未发生变化</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8"/>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8"/>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13、事故废水暂存能力或拦截设施变化，导致环境风险防范能力弱化或降低的</w:t>
                  </w:r>
                </w:p>
              </w:tc>
              <w:tc>
                <w:tcPr>
                  <w:tcW w:w="2672"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auto"/>
                      <w:sz w:val="21"/>
                      <w:szCs w:val="21"/>
                      <w:lang w:eastAsia="zh-CN"/>
                    </w:rPr>
                    <w:t>未发生变化</w:t>
                  </w:r>
                </w:p>
              </w:tc>
              <w:tc>
                <w:tcPr>
                  <w:tcW w:w="1111" w:type="dxa"/>
                  <w:noWrap/>
                  <w:vAlign w:val="center"/>
                </w:tcPr>
                <w:p>
                  <w:pPr>
                    <w:pStyle w:val="38"/>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bl>
          <w:p>
            <w:pPr>
              <w:pStyle w:val="13"/>
              <w:spacing w:after="0" w:line="360" w:lineRule="auto"/>
              <w:ind w:left="0" w:leftChars="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因此，根据</w:t>
            </w:r>
            <w:r>
              <w:rPr>
                <w:rFonts w:hint="eastAsia" w:cs="Times New Roman"/>
                <w:color w:val="000000" w:themeColor="text1"/>
                <w:sz w:val="24"/>
                <w14:textFill>
                  <w14:solidFill>
                    <w14:schemeClr w14:val="tx1"/>
                  </w14:solidFill>
                </w14:textFill>
              </w:rPr>
              <w:t>上述对比分析，</w:t>
            </w:r>
            <w:r>
              <w:rPr>
                <w:rFonts w:cs="Times New Roman"/>
                <w:color w:val="000000" w:themeColor="text1"/>
                <w:sz w:val="24"/>
                <w14:textFill>
                  <w14:solidFill>
                    <w14:schemeClr w14:val="tx1"/>
                  </w14:solidFill>
                </w14:textFill>
              </w:rPr>
              <w:t>本项目性质、地点、规模</w:t>
            </w:r>
            <w:r>
              <w:rPr>
                <w:rFonts w:hint="eastAsia" w:cs="Times New Roman"/>
                <w:color w:val="000000" w:themeColor="text1"/>
                <w:sz w:val="24"/>
                <w14:textFill>
                  <w14:solidFill>
                    <w14:schemeClr w14:val="tx1"/>
                  </w14:solidFill>
                </w14:textFill>
              </w:rPr>
              <w:t>、生产工艺、环境保护措施</w:t>
            </w:r>
            <w:r>
              <w:rPr>
                <w:rFonts w:cs="Times New Roman"/>
                <w:color w:val="000000" w:themeColor="text1"/>
                <w:sz w:val="24"/>
                <w14:textFill>
                  <w14:solidFill>
                    <w14:schemeClr w14:val="tx1"/>
                  </w14:solidFill>
                </w14:textFill>
              </w:rPr>
              <w:t>不</w:t>
            </w:r>
            <w:r>
              <w:rPr>
                <w:rFonts w:hint="eastAsia" w:cs="Times New Roman"/>
                <w:color w:val="000000" w:themeColor="text1"/>
                <w:sz w:val="24"/>
                <w:lang w:eastAsia="zh-CN"/>
                <w14:textFill>
                  <w14:solidFill>
                    <w14:schemeClr w14:val="tx1"/>
                  </w14:solidFill>
                </w14:textFill>
              </w:rPr>
              <w:t>涉及</w:t>
            </w:r>
            <w:r>
              <w:rPr>
                <w:rFonts w:cs="Times New Roman"/>
                <w:color w:val="000000" w:themeColor="text1"/>
                <w:sz w:val="24"/>
                <w14:textFill>
                  <w14:solidFill>
                    <w14:schemeClr w14:val="tx1"/>
                  </w14:solidFill>
                </w14:textFill>
              </w:rPr>
              <w:t>重大变更，</w:t>
            </w:r>
            <w:r>
              <w:rPr>
                <w:rFonts w:hint="eastAsia" w:cs="Times New Roman"/>
                <w:color w:val="000000" w:themeColor="text1"/>
                <w:sz w:val="24"/>
                <w14:textFill>
                  <w14:solidFill>
                    <w14:schemeClr w14:val="tx1"/>
                  </w14:solidFill>
                </w14:textFill>
              </w:rPr>
              <w:t>能够</w:t>
            </w:r>
            <w:r>
              <w:rPr>
                <w:rFonts w:cs="Times New Roman"/>
                <w:color w:val="000000" w:themeColor="text1"/>
                <w:sz w:val="24"/>
                <w14:textFill>
                  <w14:solidFill>
                    <w14:schemeClr w14:val="tx1"/>
                  </w14:solidFill>
                </w14:textFill>
              </w:rPr>
              <w:t>满足验</w:t>
            </w:r>
            <w:r>
              <w:rPr>
                <w:color w:val="000000" w:themeColor="text1"/>
                <w:sz w:val="24"/>
                <w14:textFill>
                  <w14:solidFill>
                    <w14:schemeClr w14:val="tx1"/>
                  </w14:solidFill>
                </w14:textFill>
              </w:rPr>
              <w:t>收条</w:t>
            </w:r>
            <w:r>
              <w:rPr>
                <w:rFonts w:cs="Times New Roman"/>
                <w:color w:val="000000" w:themeColor="text1"/>
                <w:sz w:val="24"/>
                <w14:textFill>
                  <w14:solidFill>
                    <w14:schemeClr w14:val="tx1"/>
                  </w14:solidFill>
                </w14:textFill>
              </w:rPr>
              <w:t>件。</w:t>
            </w:r>
          </w:p>
          <w:p>
            <w:pPr>
              <w:pStyle w:val="9"/>
              <w:spacing w:line="360" w:lineRule="auto"/>
              <w:ind w:firstLine="480"/>
              <w:rPr>
                <w:rFonts w:cs="Times New Roman"/>
                <w:sz w:val="24"/>
              </w:rPr>
            </w:pPr>
          </w:p>
          <w:p>
            <w:pPr>
              <w:pStyle w:val="9"/>
              <w:spacing w:line="360" w:lineRule="auto"/>
              <w:ind w:firstLine="480"/>
              <w:rPr>
                <w:rFonts w:cs="Times New Roman"/>
                <w:color w:val="0000FF"/>
                <w:sz w:val="24"/>
              </w:rPr>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
            <w:pPr>
              <w:pStyle w:val="9"/>
            </w:pPr>
          </w:p>
        </w:tc>
      </w:tr>
    </w:tbl>
    <w:p>
      <w:pPr>
        <w:spacing w:line="360" w:lineRule="auto"/>
        <w:jc w:val="left"/>
        <w:rPr>
          <w:b/>
          <w:sz w:val="24"/>
        </w:rPr>
      </w:pPr>
      <w:r>
        <w:rPr>
          <w:rFonts w:hint="eastAsia"/>
          <w:b/>
          <w:sz w:val="28"/>
          <w:szCs w:val="28"/>
        </w:rPr>
        <w:t xml:space="preserve">表三  </w:t>
      </w:r>
    </w:p>
    <w:tbl>
      <w:tblPr>
        <w:tblStyle w:val="21"/>
        <w:tblW w:w="9450" w:type="dxa"/>
        <w:tblInd w:w="-4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34" w:hRule="atLeast"/>
        </w:trPr>
        <w:tc>
          <w:tcPr>
            <w:tcW w:w="9450" w:type="dxa"/>
          </w:tcPr>
          <w:p>
            <w:pPr>
              <w:spacing w:line="360" w:lineRule="auto"/>
              <w:rPr>
                <w:b/>
                <w:bCs/>
                <w:sz w:val="24"/>
              </w:rPr>
            </w:pPr>
            <w:r>
              <w:rPr>
                <w:rFonts w:hint="eastAsia"/>
                <w:b/>
                <w:bCs/>
                <w:sz w:val="24"/>
              </w:rPr>
              <w:t>主要污染源、污染物处理和排放：</w:t>
            </w:r>
          </w:p>
          <w:p>
            <w:pPr>
              <w:spacing w:line="360" w:lineRule="auto"/>
              <w:ind w:firstLine="482" w:firstLineChars="200"/>
              <w:rPr>
                <w:rFonts w:hAnsi="宋体"/>
                <w:b/>
                <w:bCs/>
                <w:sz w:val="24"/>
              </w:rPr>
            </w:pPr>
            <w:r>
              <w:rPr>
                <w:rFonts w:hint="eastAsia"/>
                <w:b/>
                <w:bCs/>
                <w:sz w:val="24"/>
              </w:rPr>
              <w:t>1、</w:t>
            </w:r>
            <w:r>
              <w:rPr>
                <w:rFonts w:hint="eastAsia" w:hAnsi="宋体"/>
                <w:b/>
                <w:bCs/>
                <w:sz w:val="24"/>
              </w:rPr>
              <w:t>废水污染物及源强分析</w:t>
            </w:r>
          </w:p>
          <w:p>
            <w:pPr>
              <w:spacing w:line="360" w:lineRule="auto"/>
              <w:ind w:firstLine="480" w:firstLineChars="200"/>
              <w:rPr>
                <w:rFonts w:hint="default" w:ascii="Times New Roman" w:hAnsi="Times New Roman" w:cs="Times New Roman"/>
                <w:b w:val="0"/>
                <w:bCs/>
                <w:color w:val="auto"/>
                <w:sz w:val="24"/>
                <w:lang w:eastAsia="zh-CN"/>
              </w:rPr>
            </w:pPr>
            <w:r>
              <w:rPr>
                <w:rFonts w:hint="default" w:ascii="Times New Roman" w:hAnsi="Times New Roman" w:cs="Times New Roman"/>
                <w:b w:val="0"/>
                <w:bCs/>
                <w:color w:val="auto"/>
                <w:sz w:val="24"/>
                <w:lang w:eastAsia="zh-CN"/>
              </w:rPr>
              <w:t>项目</w:t>
            </w:r>
            <w:r>
              <w:rPr>
                <w:rFonts w:hint="eastAsia" w:cs="Times New Roman"/>
                <w:b w:val="0"/>
                <w:bCs/>
                <w:color w:val="auto"/>
                <w:sz w:val="24"/>
                <w:lang w:eastAsia="zh-CN"/>
              </w:rPr>
              <w:t>废水主要为生活污水、水帘废液</w:t>
            </w:r>
            <w:r>
              <w:rPr>
                <w:sz w:val="24"/>
                <w:szCs w:val="20"/>
                <w:lang w:bidi="ar"/>
              </w:rPr>
              <w:t>，</w:t>
            </w:r>
            <w:r>
              <w:rPr>
                <w:rFonts w:hint="eastAsia" w:ascii="Times New Roman" w:cs="Times New Roman"/>
                <w:b w:val="0"/>
                <w:bCs/>
                <w:color w:val="auto"/>
                <w:sz w:val="24"/>
                <w:lang w:eastAsia="zh-CN"/>
              </w:rPr>
              <w:t>废水污染物情况如下表。</w:t>
            </w:r>
          </w:p>
          <w:p>
            <w:pPr>
              <w:pStyle w:val="2"/>
              <w:jc w:val="center"/>
              <w:rPr>
                <w:rFonts w:hint="default" w:ascii="Times New Roman" w:hAnsi="Times New Roman" w:cs="Times New Roman"/>
                <w:b/>
                <w:bCs/>
                <w:color w:val="auto"/>
                <w:sz w:val="24"/>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2"/>
              <w:tblW w:w="4952" w:type="pct"/>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821"/>
              <w:gridCol w:w="1019"/>
              <w:gridCol w:w="633"/>
              <w:gridCol w:w="1110"/>
              <w:gridCol w:w="663"/>
              <w:gridCol w:w="1121"/>
              <w:gridCol w:w="836"/>
              <w:gridCol w:w="821"/>
              <w:gridCol w:w="672"/>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44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490"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34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96"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358"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60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450"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442"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363"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638"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生活污水</w:t>
                  </w:r>
                </w:p>
              </w:tc>
              <w:tc>
                <w:tcPr>
                  <w:tcW w:w="44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员工生产生活</w:t>
                  </w:r>
                </w:p>
              </w:tc>
              <w:tc>
                <w:tcPr>
                  <w:tcW w:w="490" w:type="pct"/>
                  <w:vAlign w:val="center"/>
                </w:tcPr>
                <w:p>
                  <w:pPr>
                    <w:pStyle w:val="2"/>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pH、</w:t>
                  </w: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r>
                    <w:rPr>
                      <w:rFonts w:hint="eastAsia" w:ascii="Times New Roman" w:cs="Times New Roman"/>
                      <w:b w:val="0"/>
                      <w:bCs/>
                      <w:color w:val="auto"/>
                      <w:sz w:val="21"/>
                      <w:szCs w:val="21"/>
                      <w:lang w:eastAsia="zh-CN"/>
                    </w:rPr>
                    <w:t>、</w:t>
                  </w:r>
                  <w:r>
                    <w:rPr>
                      <w:rFonts w:hint="eastAsia" w:ascii="Times New Roman" w:cs="Times New Roman"/>
                      <w:b w:val="0"/>
                      <w:bCs/>
                      <w:color w:val="auto"/>
                      <w:sz w:val="21"/>
                      <w:szCs w:val="21"/>
                      <w:lang w:val="en-US" w:eastAsia="zh-CN"/>
                    </w:rPr>
                    <w:t>TP、动植物油</w:t>
                  </w:r>
                </w:p>
              </w:tc>
              <w:tc>
                <w:tcPr>
                  <w:tcW w:w="34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96"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144</w:t>
                  </w:r>
                  <w:r>
                    <w:rPr>
                      <w:rFonts w:hint="default" w:ascii="Times New Roman" w:hAnsi="Times New Roman" w:eastAsia="宋体" w:cs="Times New Roman"/>
                      <w:b w:val="0"/>
                      <w:bCs/>
                      <w:color w:val="auto"/>
                      <w:sz w:val="21"/>
                      <w:szCs w:val="21"/>
                    </w:rPr>
                    <w:t>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/a</w:t>
                  </w:r>
                </w:p>
              </w:tc>
              <w:tc>
                <w:tcPr>
                  <w:tcW w:w="358"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化粪池</w:t>
                  </w:r>
                </w:p>
              </w:tc>
              <w:tc>
                <w:tcPr>
                  <w:tcW w:w="60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厌氧消化</w:t>
                  </w:r>
                </w:p>
              </w:tc>
              <w:tc>
                <w:tcPr>
                  <w:tcW w:w="450"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3</w:t>
                  </w:r>
                  <w:r>
                    <w:rPr>
                      <w:rFonts w:hint="default" w:ascii="Times New Roman" w:hAnsi="Times New Roman" w:cs="Times New Roman"/>
                      <w:b w:val="0"/>
                      <w:bCs/>
                      <w:color w:val="auto"/>
                      <w:sz w:val="21"/>
                      <w:szCs w:val="21"/>
                      <w:vertAlign w:val="baseline"/>
                      <w:lang w:val="en-US" w:eastAsia="zh-CN"/>
                    </w:rPr>
                    <w:t>t/d</w:t>
                  </w:r>
                </w:p>
              </w:tc>
              <w:tc>
                <w:tcPr>
                  <w:tcW w:w="44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3</w:t>
                  </w:r>
                  <w:r>
                    <w:rPr>
                      <w:rFonts w:hint="default" w:ascii="Times New Roman" w:hAnsi="Times New Roman" w:cs="Times New Roman"/>
                      <w:b w:val="0"/>
                      <w:bCs/>
                      <w:color w:val="auto"/>
                      <w:sz w:val="21"/>
                      <w:szCs w:val="21"/>
                      <w:vertAlign w:val="baseline"/>
                      <w:lang w:val="en-US" w:eastAsia="zh-CN"/>
                    </w:rPr>
                    <w:t>t/d</w:t>
                  </w:r>
                </w:p>
              </w:tc>
              <w:tc>
                <w:tcPr>
                  <w:tcW w:w="36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0</w:t>
                  </w:r>
                </w:p>
              </w:tc>
              <w:tc>
                <w:tcPr>
                  <w:tcW w:w="638"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接入市政污水管网纳入棠树乡三拐污水处理厂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 w:type="pct"/>
                  <w:vAlign w:val="center"/>
                </w:tcPr>
                <w:p>
                  <w:pPr>
                    <w:pStyle w:val="2"/>
                    <w:spacing w:line="240" w:lineRule="auto"/>
                    <w:jc w:val="center"/>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生产废水</w:t>
                  </w:r>
                </w:p>
              </w:tc>
              <w:tc>
                <w:tcPr>
                  <w:tcW w:w="442" w:type="pct"/>
                  <w:vAlign w:val="center"/>
                </w:tcPr>
                <w:p>
                  <w:pPr>
                    <w:pStyle w:val="2"/>
                    <w:spacing w:line="240" w:lineRule="auto"/>
                    <w:jc w:val="center"/>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打磨、喷漆工段</w:t>
                  </w:r>
                </w:p>
              </w:tc>
              <w:tc>
                <w:tcPr>
                  <w:tcW w:w="490" w:type="pct"/>
                  <w:vAlign w:val="center"/>
                </w:tcPr>
                <w:p>
                  <w:pPr>
                    <w:pStyle w:val="2"/>
                    <w:spacing w:line="240" w:lineRule="auto"/>
                    <w:jc w:val="center"/>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pH、</w:t>
                  </w: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3794" w:type="pct"/>
                  <w:gridSpan w:val="8"/>
                  <w:vAlign w:val="center"/>
                </w:tcPr>
                <w:p>
                  <w:pPr>
                    <w:pStyle w:val="2"/>
                    <w:spacing w:line="240" w:lineRule="auto"/>
                    <w:jc w:val="center"/>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水帘废液经一体化污水处理设备处理后回用于水帘柜，一体化污水处理设备的处理工艺为：絮凝沉淀；处理规模为12t/d，使用药剂为PAC、PAM。水帘废液定期更换，更换的废液作为危险废物放置于危险废物暂存间后交由有资质单位处置</w:t>
                  </w:r>
                </w:p>
              </w:tc>
            </w:tr>
          </w:tbl>
          <w:p>
            <w:pPr>
              <w:numPr>
                <w:ilvl w:val="0"/>
                <w:numId w:val="0"/>
              </w:numPr>
              <w:spacing w:line="360" w:lineRule="auto"/>
              <w:ind w:leftChars="0" w:firstLine="482" w:firstLineChars="200"/>
              <w:rPr>
                <w:rFonts w:hint="eastAsia" w:hAnsi="宋体"/>
                <w:b/>
                <w:bCs/>
                <w:color w:val="000000" w:themeColor="text1"/>
                <w:sz w:val="24"/>
                <w14:textFill>
                  <w14:solidFill>
                    <w14:schemeClr w14:val="tx1"/>
                  </w14:solidFill>
                </w14:textFill>
              </w:rPr>
            </w:pPr>
            <w:r>
              <w:rPr>
                <w:rFonts w:hint="eastAsia" w:hAnsi="宋体"/>
                <w:b/>
                <w:bCs/>
                <w:color w:val="000000" w:themeColor="text1"/>
                <w:sz w:val="24"/>
                <w:lang w:val="en-US" w:eastAsia="zh-CN"/>
                <w14:textFill>
                  <w14:solidFill>
                    <w14:schemeClr w14:val="tx1"/>
                  </w14:solidFill>
                </w14:textFill>
              </w:rPr>
              <w:t>2、</w:t>
            </w:r>
            <w:r>
              <w:rPr>
                <w:rFonts w:hint="eastAsia" w:hAnsi="宋体"/>
                <w:b/>
                <w:bCs/>
                <w:color w:val="000000" w:themeColor="text1"/>
                <w:sz w:val="24"/>
                <w14:textFill>
                  <w14:solidFill>
                    <w14:schemeClr w14:val="tx1"/>
                  </w14:solidFill>
                </w14:textFill>
              </w:rPr>
              <w:t>废气污染物及源强分析</w:t>
            </w:r>
          </w:p>
          <w:p>
            <w:pPr>
              <w:numPr>
                <w:ilvl w:val="0"/>
                <w:numId w:val="0"/>
              </w:numPr>
              <w:spacing w:line="360" w:lineRule="auto"/>
              <w:ind w:leftChars="0" w:firstLine="480" w:firstLineChars="200"/>
              <w:rPr>
                <w:rFonts w:hint="default"/>
                <w:lang w:val="en-US" w:eastAsia="zh-CN"/>
              </w:rPr>
            </w:pPr>
            <w:r>
              <w:rPr>
                <w:sz w:val="24"/>
              </w:rPr>
              <w:t>本项目废气主要来自木工粉尘</w:t>
            </w:r>
            <w:r>
              <w:rPr>
                <w:rFonts w:hint="eastAsia"/>
                <w:sz w:val="24"/>
              </w:rPr>
              <w:t>、胶水废气、</w:t>
            </w:r>
            <w:r>
              <w:rPr>
                <w:sz w:val="24"/>
              </w:rPr>
              <w:t>涂装废气</w:t>
            </w:r>
            <w:r>
              <w:rPr>
                <w:rFonts w:hint="eastAsia"/>
                <w:sz w:val="24"/>
                <w:lang w:eastAsia="zh-CN"/>
              </w:rPr>
              <w:t>、漆磨粉尘</w:t>
            </w:r>
            <w:r>
              <w:rPr>
                <w:sz w:val="24"/>
              </w:rPr>
              <w:t>。</w:t>
            </w:r>
            <w:r>
              <w:rPr>
                <w:rFonts w:hint="eastAsia"/>
                <w:b w:val="0"/>
                <w:bCs w:val="0"/>
                <w:color w:val="000000" w:themeColor="text1"/>
                <w:sz w:val="24"/>
                <w:lang w:val="en-US" w:eastAsia="zh-CN"/>
                <w14:textFill>
                  <w14:solidFill>
                    <w14:schemeClr w14:val="tx1"/>
                  </w14:solidFill>
                </w14:textFill>
              </w:rPr>
              <w:t>废气污染物情况如下表。</w:t>
            </w:r>
          </w:p>
          <w:p>
            <w:pPr>
              <w:pStyle w:val="2"/>
              <w:jc w:val="cente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表</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b/>
                <w:bCs/>
                <w:sz w:val="24"/>
              </w:rPr>
              <w:t>废</w:t>
            </w:r>
            <w:r>
              <w:rPr>
                <w:rFonts w:hint="eastAsia"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2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9"/>
              <w:gridCol w:w="2228"/>
              <w:gridCol w:w="1564"/>
              <w:gridCol w:w="2122"/>
              <w:gridCol w:w="2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pct"/>
                  <w:vAlign w:val="center"/>
                </w:tcPr>
                <w:p>
                  <w:pPr>
                    <w:pStyle w:val="34"/>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b w:val="0"/>
                      <w:bCs/>
                      <w:color w:val="000000" w:themeColor="text1"/>
                      <w:sz w:val="21"/>
                      <w:szCs w:val="21"/>
                      <w:vertAlign w:val="baseline"/>
                      <w14:textFill>
                        <w14:solidFill>
                          <w14:schemeClr w14:val="tx1"/>
                        </w14:solidFill>
                      </w14:textFill>
                    </w:rPr>
                  </w:pPr>
                  <w:r>
                    <w:rPr>
                      <w:b w:val="0"/>
                      <w:bCs/>
                      <w:sz w:val="21"/>
                      <w:szCs w:val="21"/>
                    </w:rPr>
                    <w:t>内容要素</w:t>
                  </w:r>
                </w:p>
              </w:tc>
              <w:tc>
                <w:tcPr>
                  <w:tcW w:w="1175" w:type="pct"/>
                  <w:vAlign w:val="center"/>
                </w:tcPr>
                <w:p>
                  <w:pPr>
                    <w:pStyle w:val="34"/>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val="0"/>
                      <w:bCs/>
                      <w:sz w:val="21"/>
                      <w:szCs w:val="21"/>
                    </w:rPr>
                  </w:pPr>
                  <w:r>
                    <w:rPr>
                      <w:b w:val="0"/>
                      <w:bCs/>
                      <w:sz w:val="21"/>
                      <w:szCs w:val="21"/>
                    </w:rPr>
                    <w:t>排放口(编号、名称)/</w:t>
                  </w:r>
                </w:p>
                <w:p>
                  <w:pPr>
                    <w:pStyle w:val="34"/>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b w:val="0"/>
                      <w:bCs/>
                      <w:color w:val="000000" w:themeColor="text1"/>
                      <w:sz w:val="21"/>
                      <w:szCs w:val="21"/>
                      <w:vertAlign w:val="baseline"/>
                      <w14:textFill>
                        <w14:solidFill>
                          <w14:schemeClr w14:val="tx1"/>
                        </w14:solidFill>
                      </w14:textFill>
                    </w:rPr>
                  </w:pPr>
                  <w:r>
                    <w:rPr>
                      <w:b w:val="0"/>
                      <w:bCs/>
                      <w:sz w:val="21"/>
                      <w:szCs w:val="21"/>
                    </w:rPr>
                    <w:t>污染源</w:t>
                  </w:r>
                </w:p>
              </w:tc>
              <w:tc>
                <w:tcPr>
                  <w:tcW w:w="825" w:type="pct"/>
                  <w:vAlign w:val="center"/>
                </w:tcPr>
                <w:p>
                  <w:pPr>
                    <w:pStyle w:val="34"/>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b w:val="0"/>
                      <w:bCs/>
                      <w:color w:val="000000" w:themeColor="text1"/>
                      <w:sz w:val="21"/>
                      <w:szCs w:val="21"/>
                      <w:vertAlign w:val="baseline"/>
                      <w14:textFill>
                        <w14:solidFill>
                          <w14:schemeClr w14:val="tx1"/>
                        </w14:solidFill>
                      </w14:textFill>
                    </w:rPr>
                  </w:pPr>
                  <w:r>
                    <w:rPr>
                      <w:b w:val="0"/>
                      <w:bCs/>
                      <w:sz w:val="21"/>
                      <w:szCs w:val="21"/>
                    </w:rPr>
                    <w:t>污染物项目</w:t>
                  </w:r>
                </w:p>
              </w:tc>
              <w:tc>
                <w:tcPr>
                  <w:tcW w:w="1119" w:type="pct"/>
                  <w:vAlign w:val="center"/>
                </w:tcPr>
                <w:p>
                  <w:pPr>
                    <w:pStyle w:val="34"/>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jc w:val="center"/>
                    <w:textAlignment w:val="auto"/>
                    <w:rPr>
                      <w:b w:val="0"/>
                      <w:bCs/>
                      <w:color w:val="000000" w:themeColor="text1"/>
                      <w:sz w:val="21"/>
                      <w:szCs w:val="21"/>
                      <w:vertAlign w:val="baseline"/>
                      <w14:textFill>
                        <w14:solidFill>
                          <w14:schemeClr w14:val="tx1"/>
                        </w14:solidFill>
                      </w14:textFill>
                    </w:rPr>
                  </w:pPr>
                  <w:r>
                    <w:rPr>
                      <w:b w:val="0"/>
                      <w:bCs/>
                      <w:sz w:val="21"/>
                      <w:szCs w:val="21"/>
                    </w:rPr>
                    <w:t>环境保护措施</w:t>
                  </w:r>
                </w:p>
              </w:tc>
              <w:tc>
                <w:tcPr>
                  <w:tcW w:w="1240" w:type="pct"/>
                  <w:vAlign w:val="center"/>
                </w:tcPr>
                <w:p>
                  <w:pPr>
                    <w:pStyle w:val="34"/>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jc w:val="center"/>
                    <w:textAlignment w:val="auto"/>
                    <w:rPr>
                      <w:b w:val="0"/>
                      <w:bCs/>
                      <w:color w:val="000000" w:themeColor="text1"/>
                      <w:sz w:val="21"/>
                      <w:szCs w:val="21"/>
                      <w:vertAlign w:val="baseline"/>
                      <w14:textFill>
                        <w14:solidFill>
                          <w14:schemeClr w14:val="tx1"/>
                        </w14:solidFill>
                      </w14:textFill>
                    </w:rPr>
                  </w:pPr>
                  <w:r>
                    <w:rPr>
                      <w:b w:val="0"/>
                      <w:bCs/>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pct"/>
                  <w:vMerge w:val="restart"/>
                  <w:vAlign w:val="center"/>
                </w:tcPr>
                <w:p>
                  <w:pPr>
                    <w:pStyle w:val="34"/>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b/>
                      <w:bCs/>
                      <w:color w:val="000000" w:themeColor="text1"/>
                      <w:sz w:val="21"/>
                      <w:szCs w:val="21"/>
                      <w:vertAlign w:val="baseline"/>
                      <w14:textFill>
                        <w14:solidFill>
                          <w14:schemeClr w14:val="tx1"/>
                        </w14:solidFill>
                      </w14:textFill>
                    </w:rPr>
                  </w:pPr>
                  <w:r>
                    <w:rPr>
                      <w:sz w:val="21"/>
                      <w:szCs w:val="21"/>
                    </w:rPr>
                    <w:t xml:space="preserve">大气环境 </w:t>
                  </w:r>
                </w:p>
              </w:tc>
              <w:tc>
                <w:tcPr>
                  <w:tcW w:w="117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highlight w:val="none"/>
                    </w:rPr>
                    <w:t>木工粉尘</w:t>
                  </w:r>
                </w:p>
              </w:tc>
              <w:tc>
                <w:tcPr>
                  <w:tcW w:w="82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rPr>
                    <w:t>颗粒物</w:t>
                  </w:r>
                </w:p>
              </w:tc>
              <w:tc>
                <w:tcPr>
                  <w:tcW w:w="1119"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rPr>
                    <w:t>负压系统收集后经中央集气管道纳入布袋除尘器处理后通过15m高排气筒排放</w:t>
                  </w:r>
                </w:p>
              </w:tc>
              <w:tc>
                <w:tcPr>
                  <w:tcW w:w="1240" w:type="pct"/>
                  <w:vMerge w:val="restart"/>
                  <w:vAlign w:val="center"/>
                </w:tcPr>
                <w:p>
                  <w:pPr>
                    <w:pStyle w:val="34"/>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r>
                    <w:rPr>
                      <w:rFonts w:hint="default" w:ascii="Times New Roman" w:hAnsi="Times New Roman" w:cs="Times New Roman"/>
                      <w:sz w:val="21"/>
                      <w:szCs w:val="21"/>
                    </w:rPr>
                    <w:t>颗粒物、</w:t>
                  </w:r>
                  <w:r>
                    <w:rPr>
                      <w:rFonts w:hint="eastAsia" w:ascii="Times New Roman" w:hAnsi="Times New Roman" w:cs="Times New Roman"/>
                      <w:sz w:val="21"/>
                      <w:szCs w:val="21"/>
                      <w:lang w:eastAsia="zh-CN"/>
                    </w:rPr>
                    <w:t>VOCs</w:t>
                  </w:r>
                  <w:r>
                    <w:rPr>
                      <w:rFonts w:hint="default" w:ascii="Times New Roman" w:hAnsi="Times New Roman" w:cs="Times New Roman"/>
                      <w:sz w:val="21"/>
                      <w:szCs w:val="21"/>
                    </w:rPr>
                    <w:t>有组织及厂界排放执行上海市地方标准《大气污染物综合排放标准》（DB31/933-2015），厂区内</w:t>
                  </w:r>
                  <w:r>
                    <w:rPr>
                      <w:rFonts w:hint="eastAsia" w:ascii="Times New Roman" w:hAnsi="Times New Roman" w:cs="Times New Roman"/>
                      <w:sz w:val="21"/>
                      <w:szCs w:val="21"/>
                      <w:lang w:eastAsia="zh-CN"/>
                    </w:rPr>
                    <w:t>VOCs</w:t>
                  </w:r>
                  <w:r>
                    <w:rPr>
                      <w:rFonts w:hint="default" w:ascii="Times New Roman" w:hAnsi="Times New Roman" w:cs="Times New Roman"/>
                      <w:sz w:val="21"/>
                      <w:szCs w:val="21"/>
                    </w:rPr>
                    <w:t>无组织排放监控点浓度执行《挥发性有机物无组织排放控制标准》（GB37822-2019）特别排放限值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c>
                <w:tcPr>
                  <w:tcW w:w="117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highlight w:val="none"/>
                    </w:rPr>
                    <w:t>胶水废气</w:t>
                  </w:r>
                </w:p>
              </w:tc>
              <w:tc>
                <w:tcPr>
                  <w:tcW w:w="82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lang w:eastAsia="zh-CN"/>
                    </w:rPr>
                    <w:t>VOCs</w:t>
                  </w:r>
                </w:p>
              </w:tc>
              <w:tc>
                <w:tcPr>
                  <w:tcW w:w="1119"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ascii="Times New Roman" w:cs="Times New Roman"/>
                      <w:b w:val="0"/>
                      <w:bCs w:val="0"/>
                      <w:sz w:val="21"/>
                      <w:szCs w:val="21"/>
                      <w:lang w:eastAsia="zh-CN"/>
                    </w:rPr>
                    <w:t>根据胶水成分可知，</w:t>
                  </w:r>
                  <w:r>
                    <w:rPr>
                      <w:rFonts w:hint="eastAsia" w:cs="Times New Roman"/>
                      <w:b w:val="0"/>
                      <w:bCs w:val="0"/>
                      <w:sz w:val="21"/>
                      <w:szCs w:val="21"/>
                      <w:lang w:val="en-US" w:eastAsia="zh-CN"/>
                    </w:rPr>
                    <w:t>VOCs</w:t>
                  </w:r>
                  <w:r>
                    <w:rPr>
                      <w:rFonts w:hint="eastAsia" w:ascii="Times New Roman" w:cs="Times New Roman"/>
                      <w:b w:val="0"/>
                      <w:bCs w:val="0"/>
                      <w:sz w:val="21"/>
                      <w:szCs w:val="21"/>
                      <w:lang w:val="en-US" w:eastAsia="zh-CN"/>
                    </w:rPr>
                    <w:t>成分占比低于10%，产生的废气以无组织的形式排放</w:t>
                  </w:r>
                </w:p>
              </w:tc>
              <w:tc>
                <w:tcPr>
                  <w:tcW w:w="12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c>
                <w:tcPr>
                  <w:tcW w:w="117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highlight w:val="none"/>
                    </w:rPr>
                    <w:t>涂装废气</w:t>
                  </w:r>
                </w:p>
              </w:tc>
              <w:tc>
                <w:tcPr>
                  <w:tcW w:w="82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rPr>
                    <w:t>颗粒物</w:t>
                  </w:r>
                  <w:r>
                    <w:rPr>
                      <w:rFonts w:hint="eastAsia"/>
                      <w:sz w:val="21"/>
                      <w:szCs w:val="21"/>
                      <w:lang w:eastAsia="zh-CN"/>
                    </w:rPr>
                    <w:t>、</w:t>
                  </w:r>
                  <w:r>
                    <w:rPr>
                      <w:rFonts w:hint="eastAsia"/>
                      <w:sz w:val="21"/>
                      <w:szCs w:val="21"/>
                      <w:lang w:val="en-US" w:eastAsia="zh-CN"/>
                    </w:rPr>
                    <w:t>VOCs</w:t>
                  </w:r>
                </w:p>
              </w:tc>
              <w:tc>
                <w:tcPr>
                  <w:tcW w:w="1119"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000000" w:themeColor="text1"/>
                      <w:sz w:val="21"/>
                      <w:szCs w:val="21"/>
                      <w:vertAlign w:val="baseline"/>
                      <w14:textFill>
                        <w14:solidFill>
                          <w14:schemeClr w14:val="tx1"/>
                        </w14:solidFill>
                      </w14:textFill>
                    </w:rPr>
                  </w:pPr>
                  <w:r>
                    <w:rPr>
                      <w:rFonts w:hint="eastAsia"/>
                      <w:sz w:val="21"/>
                      <w:szCs w:val="21"/>
                    </w:rPr>
                    <w:t>设置专用封闭喷漆房、晾干房，并配套负压集气系统，其中</w:t>
                  </w:r>
                  <w:r>
                    <w:rPr>
                      <w:rFonts w:hint="eastAsia"/>
                      <w:sz w:val="21"/>
                      <w:szCs w:val="21"/>
                      <w:lang w:eastAsia="zh-CN"/>
                    </w:rPr>
                    <w:t>底漆房、面漆房各</w:t>
                  </w:r>
                  <w:r>
                    <w:rPr>
                      <w:rFonts w:hint="eastAsia"/>
                      <w:sz w:val="21"/>
                      <w:szCs w:val="21"/>
                    </w:rPr>
                    <w:t>设置</w:t>
                  </w:r>
                  <w:r>
                    <w:rPr>
                      <w:rFonts w:hint="eastAsia"/>
                      <w:sz w:val="21"/>
                      <w:szCs w:val="21"/>
                      <w:lang w:eastAsia="zh-CN"/>
                    </w:rPr>
                    <w:t>水帘</w:t>
                  </w:r>
                  <w:r>
                    <w:rPr>
                      <w:rFonts w:hint="eastAsia"/>
                      <w:sz w:val="21"/>
                      <w:szCs w:val="21"/>
                    </w:rPr>
                    <w:t>柜+干式过滤棉层对漆雾颗粒进行吸收干燥后引出，与晾干房收集的有机废气一并引入</w:t>
                  </w:r>
                  <w:r>
                    <w:rPr>
                      <w:rFonts w:hint="eastAsia"/>
                      <w:sz w:val="21"/>
                      <w:szCs w:val="21"/>
                      <w:lang w:val="en-US" w:eastAsia="zh-CN"/>
                    </w:rPr>
                    <w:t>2</w:t>
                  </w:r>
                  <w:r>
                    <w:rPr>
                      <w:rFonts w:hint="eastAsia"/>
                      <w:sz w:val="21"/>
                      <w:szCs w:val="21"/>
                    </w:rPr>
                    <w:t>套“二级活性炭吸附”处理系统处理后最终由</w:t>
                  </w:r>
                  <w:r>
                    <w:rPr>
                      <w:rFonts w:hint="eastAsia"/>
                      <w:sz w:val="21"/>
                      <w:szCs w:val="21"/>
                      <w:lang w:val="en-US" w:eastAsia="zh-CN"/>
                    </w:rPr>
                    <w:t>2</w:t>
                  </w:r>
                  <w:r>
                    <w:rPr>
                      <w:rFonts w:hint="eastAsia"/>
                      <w:sz w:val="21"/>
                      <w:szCs w:val="21"/>
                    </w:rPr>
                    <w:t>根15m排气筒有组织排放</w:t>
                  </w:r>
                </w:p>
              </w:tc>
              <w:tc>
                <w:tcPr>
                  <w:tcW w:w="12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c>
                <w:tcPr>
                  <w:tcW w:w="117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sz w:val="21"/>
                      <w:szCs w:val="21"/>
                    </w:rPr>
                  </w:pPr>
                  <w:r>
                    <w:rPr>
                      <w:rFonts w:hint="eastAsia"/>
                      <w:sz w:val="21"/>
                      <w:szCs w:val="21"/>
                      <w:highlight w:val="none"/>
                    </w:rPr>
                    <w:t>漆磨粉尘</w:t>
                  </w:r>
                </w:p>
              </w:tc>
              <w:tc>
                <w:tcPr>
                  <w:tcW w:w="825"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sz w:val="21"/>
                      <w:szCs w:val="21"/>
                    </w:rPr>
                  </w:pPr>
                  <w:r>
                    <w:rPr>
                      <w:rFonts w:hint="eastAsia"/>
                      <w:sz w:val="21"/>
                      <w:szCs w:val="21"/>
                    </w:rPr>
                    <w:t>颗粒物</w:t>
                  </w:r>
                </w:p>
              </w:tc>
              <w:tc>
                <w:tcPr>
                  <w:tcW w:w="1119" w:type="pc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Theme="minorEastAsia"/>
                      <w:b/>
                      <w:bCs/>
                      <w:color w:val="000000" w:themeColor="text1"/>
                      <w:sz w:val="21"/>
                      <w:szCs w:val="21"/>
                      <w:vertAlign w:val="baseline"/>
                      <w:lang w:eastAsia="zh-CN"/>
                      <w14:textFill>
                        <w14:solidFill>
                          <w14:schemeClr w14:val="tx1"/>
                        </w14:solidFill>
                      </w14:textFill>
                    </w:rPr>
                  </w:pPr>
                  <w:r>
                    <w:rPr>
                      <w:rFonts w:hint="eastAsia"/>
                      <w:sz w:val="21"/>
                      <w:szCs w:val="21"/>
                    </w:rPr>
                    <w:t>设专用打磨间，产生的漆磨粉尘</w:t>
                  </w:r>
                  <w:r>
                    <w:rPr>
                      <w:rFonts w:hint="eastAsia"/>
                      <w:sz w:val="21"/>
                      <w:szCs w:val="21"/>
                      <w:lang w:eastAsia="zh-CN"/>
                    </w:rPr>
                    <w:t>经水帘</w:t>
                  </w:r>
                  <w:r>
                    <w:rPr>
                      <w:rFonts w:hint="eastAsia"/>
                      <w:sz w:val="21"/>
                      <w:szCs w:val="21"/>
                    </w:rPr>
                    <w:t>柜+干式过滤棉层</w:t>
                  </w:r>
                  <w:r>
                    <w:rPr>
                      <w:rFonts w:hint="eastAsia"/>
                      <w:sz w:val="21"/>
                      <w:szCs w:val="21"/>
                      <w:lang w:eastAsia="zh-CN"/>
                    </w:rPr>
                    <w:t>处理后排放</w:t>
                  </w:r>
                </w:p>
              </w:tc>
              <w:tc>
                <w:tcPr>
                  <w:tcW w:w="12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c>
                <w:tcPr>
                  <w:tcW w:w="1175" w:type="pct"/>
                  <w:vAlign w:val="center"/>
                </w:tcPr>
                <w:p>
                  <w:pPr>
                    <w:adjustRightInd w:val="0"/>
                    <w:snapToGrid w:val="0"/>
                    <w:jc w:val="center"/>
                    <w:rPr>
                      <w:rFonts w:hint="eastAsia"/>
                      <w:sz w:val="21"/>
                      <w:szCs w:val="21"/>
                      <w:highlight w:val="none"/>
                    </w:rPr>
                  </w:pPr>
                  <w:r>
                    <w:rPr>
                      <w:rFonts w:hint="eastAsia"/>
                      <w:sz w:val="21"/>
                      <w:szCs w:val="21"/>
                      <w:highlight w:val="none"/>
                    </w:rPr>
                    <w:t>厂界</w:t>
                  </w:r>
                </w:p>
              </w:tc>
              <w:tc>
                <w:tcPr>
                  <w:tcW w:w="825" w:type="pct"/>
                  <w:vAlign w:val="center"/>
                </w:tcPr>
                <w:p>
                  <w:pPr>
                    <w:adjustRightInd w:val="0"/>
                    <w:snapToGrid w:val="0"/>
                    <w:jc w:val="center"/>
                    <w:rPr>
                      <w:rFonts w:hint="eastAsia"/>
                      <w:sz w:val="21"/>
                      <w:szCs w:val="21"/>
                    </w:rPr>
                  </w:pPr>
                  <w:r>
                    <w:rPr>
                      <w:rFonts w:hint="eastAsia"/>
                      <w:sz w:val="21"/>
                      <w:szCs w:val="21"/>
                    </w:rPr>
                    <w:t>颗粒物</w:t>
                  </w:r>
                  <w:r>
                    <w:rPr>
                      <w:rFonts w:hint="eastAsia"/>
                      <w:sz w:val="21"/>
                      <w:szCs w:val="21"/>
                      <w:lang w:eastAsia="zh-CN"/>
                    </w:rPr>
                    <w:t>、</w:t>
                  </w:r>
                  <w:r>
                    <w:rPr>
                      <w:rFonts w:hint="eastAsia"/>
                      <w:sz w:val="21"/>
                      <w:szCs w:val="21"/>
                      <w:lang w:val="en-US" w:eastAsia="zh-CN"/>
                    </w:rPr>
                    <w:t>VOCs</w:t>
                  </w:r>
                </w:p>
              </w:tc>
              <w:tc>
                <w:tcPr>
                  <w:tcW w:w="1119" w:type="pct"/>
                  <w:vAlign w:val="center"/>
                </w:tcPr>
                <w:p>
                  <w:pPr>
                    <w:adjustRightInd w:val="0"/>
                    <w:snapToGrid w:val="0"/>
                    <w:jc w:val="center"/>
                    <w:rPr>
                      <w:rFonts w:hint="eastAsia"/>
                      <w:sz w:val="21"/>
                      <w:szCs w:val="21"/>
                    </w:rPr>
                  </w:pPr>
                  <w:r>
                    <w:rPr>
                      <w:rFonts w:hint="eastAsia"/>
                      <w:sz w:val="21"/>
                      <w:szCs w:val="21"/>
                    </w:rPr>
                    <w:t>加强项目区域的封闭措施</w:t>
                  </w:r>
                </w:p>
              </w:tc>
              <w:tc>
                <w:tcPr>
                  <w:tcW w:w="12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b/>
                      <w:bCs/>
                      <w:color w:val="000000" w:themeColor="text1"/>
                      <w:sz w:val="21"/>
                      <w:szCs w:val="21"/>
                      <w:vertAlign w:val="baseline"/>
                      <w14:textFill>
                        <w14:solidFill>
                          <w14:schemeClr w14:val="tx1"/>
                        </w14:solidFill>
                      </w14:textFill>
                    </w:rPr>
                  </w:pPr>
                </w:p>
              </w:tc>
            </w:tr>
          </w:tbl>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w:t>
            </w:r>
            <w:r>
              <w:rPr>
                <w:rFonts w:hAnsi="宋体"/>
                <w:b/>
                <w:bCs/>
                <w:color w:val="000000" w:themeColor="text1"/>
                <w:sz w:val="24"/>
                <w14:textFill>
                  <w14:solidFill>
                    <w14:schemeClr w14:val="tx1"/>
                  </w14:solidFill>
                </w14:textFill>
              </w:rPr>
              <w:t>、噪声</w:t>
            </w:r>
            <w:r>
              <w:rPr>
                <w:rFonts w:hint="eastAsia" w:hAnsi="宋体"/>
                <w:b/>
                <w:bCs/>
                <w:color w:val="000000" w:themeColor="text1"/>
                <w:sz w:val="24"/>
                <w14:textFill>
                  <w14:solidFill>
                    <w14:schemeClr w14:val="tx1"/>
                  </w14:solidFill>
                </w14:textFill>
              </w:rPr>
              <w:t>污染分析</w:t>
            </w:r>
          </w:p>
          <w:p>
            <w:pPr>
              <w:pStyle w:val="27"/>
              <w:spacing w:line="360" w:lineRule="auto"/>
              <w:jc w:val="both"/>
              <w:rPr>
                <w:rFonts w:hint="eastAsia"/>
                <w:b w:val="0"/>
                <w:bCs w:val="0"/>
                <w:color w:val="000000" w:themeColor="text1"/>
                <w:sz w:val="24"/>
                <w:lang w:val="en-US" w:eastAsia="zh-CN"/>
                <w14:textFill>
                  <w14:solidFill>
                    <w14:schemeClr w14:val="tx1"/>
                  </w14:solidFill>
                </w14:textFill>
              </w:rPr>
            </w:pPr>
            <w:r>
              <w:rPr>
                <w:rFonts w:hAnsi="宋体"/>
                <w:color w:val="000000" w:themeColor="text1"/>
                <w:sz w:val="24"/>
                <w14:textFill>
                  <w14:solidFill>
                    <w14:schemeClr w14:val="tx1"/>
                  </w14:solidFill>
                </w14:textFill>
              </w:rPr>
              <w:t>本项目产生的</w:t>
            </w:r>
            <w:r>
              <w:rPr>
                <w:color w:val="000000" w:themeColor="text1"/>
                <w:sz w:val="24"/>
                <w14:textFill>
                  <w14:solidFill>
                    <w14:schemeClr w14:val="tx1"/>
                  </w14:solidFill>
                </w14:textFill>
              </w:rPr>
              <w:t>噪声主要来自于</w:t>
            </w:r>
            <w:r>
              <w:rPr>
                <w:rFonts w:hint="eastAsia"/>
                <w:color w:val="000000" w:themeColor="text1"/>
                <w:sz w:val="24"/>
                <w:lang w:eastAsia="zh-CN"/>
                <w14:textFill>
                  <w14:solidFill>
                    <w14:schemeClr w14:val="tx1"/>
                  </w14:solidFill>
                </w14:textFill>
              </w:rPr>
              <w:t>生产设备、风机</w:t>
            </w:r>
            <w:r>
              <w:rPr>
                <w:rFonts w:hAnsi="宋体"/>
                <w:bCs/>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本项目已采取</w:t>
            </w:r>
            <w:r>
              <w:rPr>
                <w:rFonts w:hAnsi="宋体"/>
                <w:bCs/>
                <w:color w:val="000000" w:themeColor="text1"/>
                <w:sz w:val="24"/>
                <w14:textFill>
                  <w14:solidFill>
                    <w14:schemeClr w14:val="tx1"/>
                  </w14:solidFill>
                </w14:textFill>
              </w:rPr>
              <w:t>基础减震、设备隔声、厂房隔声以及选用低噪声设备</w:t>
            </w:r>
            <w:r>
              <w:rPr>
                <w:rFonts w:hint="eastAsia" w:hAnsi="宋体"/>
                <w:bCs/>
                <w:color w:val="000000" w:themeColor="text1"/>
                <w:sz w:val="24"/>
                <w14:textFill>
                  <w14:solidFill>
                    <w14:schemeClr w14:val="tx1"/>
                  </w14:solidFill>
                </w14:textFill>
              </w:rPr>
              <w:t>等措施</w:t>
            </w:r>
            <w:r>
              <w:rPr>
                <w:rFonts w:hAnsi="宋体"/>
                <w:bCs/>
                <w:color w:val="000000" w:themeColor="text1"/>
                <w:sz w:val="24"/>
                <w14:textFill>
                  <w14:solidFill>
                    <w14:schemeClr w14:val="tx1"/>
                  </w14:solidFill>
                </w14:textFill>
              </w:rPr>
              <w:t>。</w:t>
            </w:r>
            <w:r>
              <w:rPr>
                <w:rFonts w:hint="eastAsia" w:hAnsi="宋体"/>
                <w:bCs/>
                <w:color w:val="000000" w:themeColor="text1"/>
                <w:sz w:val="24"/>
                <w:lang w:eastAsia="zh-CN"/>
                <w14:textFill>
                  <w14:solidFill>
                    <w14:schemeClr w14:val="tx1"/>
                  </w14:solidFill>
                </w14:textFill>
              </w:rPr>
              <w:t>噪声</w:t>
            </w:r>
            <w:r>
              <w:rPr>
                <w:rFonts w:hint="eastAsia"/>
                <w:b w:val="0"/>
                <w:bCs w:val="0"/>
                <w:color w:val="000000" w:themeColor="text1"/>
                <w:sz w:val="24"/>
                <w:lang w:val="en-US" w:eastAsia="zh-CN"/>
                <w14:textFill>
                  <w14:solidFill>
                    <w14:schemeClr w14:val="tx1"/>
                  </w14:solidFill>
                </w14:textFill>
              </w:rPr>
              <w:t>污染物情况如下表。</w:t>
            </w:r>
          </w:p>
          <w:p>
            <w:pPr>
              <w:spacing w:line="360" w:lineRule="auto"/>
              <w:jc w:val="center"/>
              <w:rPr>
                <w:rFonts w:hint="eastAsia" w:hAnsi="宋体"/>
                <w:b/>
                <w:bCs/>
                <w:sz w:val="24"/>
                <w:lang w:eastAsia="zh-CN"/>
              </w:rPr>
            </w:pPr>
            <w:r>
              <w:rPr>
                <w:rFonts w:hint="eastAsia" w:hAnsi="宋体"/>
                <w:b/>
                <w:bCs/>
                <w:sz w:val="24"/>
                <w:lang w:eastAsia="zh-CN"/>
              </w:rPr>
              <w:t>表</w:t>
            </w:r>
            <w:r>
              <w:rPr>
                <w:rFonts w:hint="eastAsia" w:hAnsi="宋体"/>
                <w:b/>
                <w:bCs/>
                <w:sz w:val="24"/>
                <w:lang w:val="en-US" w:eastAsia="zh-CN"/>
              </w:rPr>
              <w:t>3.3 噪声</w:t>
            </w:r>
            <w:r>
              <w:rPr>
                <w:rFonts w:hint="eastAsia" w:hAnsi="宋体"/>
                <w:b/>
                <w:bCs/>
                <w:sz w:val="24"/>
                <w:lang w:eastAsia="zh-CN"/>
              </w:rPr>
              <w:t>治理情况一览表</w:t>
            </w:r>
          </w:p>
          <w:tbl>
            <w:tblPr>
              <w:tblStyle w:val="2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1968"/>
              <w:gridCol w:w="654"/>
              <w:gridCol w:w="1257"/>
              <w:gridCol w:w="1807"/>
              <w:gridCol w:w="1653"/>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pct"/>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rPr>
                  </w:pPr>
                  <w:r>
                    <w:rPr>
                      <w:rFonts w:hint="default" w:ascii="Times New Roman" w:hAnsi="Times New Roman" w:cs="Times New Roman"/>
                      <w:b w:val="0"/>
                      <w:bCs/>
                      <w:sz w:val="21"/>
                    </w:rPr>
                    <w:t>序号</w:t>
                  </w:r>
                </w:p>
              </w:tc>
              <w:tc>
                <w:tcPr>
                  <w:tcW w:w="1038" w:type="pct"/>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rPr>
                  </w:pPr>
                  <w:r>
                    <w:rPr>
                      <w:rFonts w:hint="default" w:ascii="Times New Roman" w:hAnsi="Times New Roman" w:cs="Times New Roman"/>
                      <w:b w:val="0"/>
                      <w:bCs/>
                      <w:sz w:val="21"/>
                    </w:rPr>
                    <w:t>设备名称</w:t>
                  </w:r>
                </w:p>
              </w:tc>
              <w:tc>
                <w:tcPr>
                  <w:tcW w:w="345" w:type="pct"/>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rPr>
                  </w:pPr>
                  <w:r>
                    <w:rPr>
                      <w:rFonts w:hint="default" w:ascii="Times New Roman" w:hAnsi="Times New Roman" w:cs="Times New Roman"/>
                      <w:b w:val="0"/>
                      <w:bCs/>
                      <w:sz w:val="21"/>
                    </w:rPr>
                    <w:t>单位</w:t>
                  </w:r>
                </w:p>
              </w:tc>
              <w:tc>
                <w:tcPr>
                  <w:tcW w:w="663" w:type="pct"/>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rPr>
                  </w:pPr>
                  <w:r>
                    <w:rPr>
                      <w:rFonts w:hint="default" w:ascii="Times New Roman" w:hAnsi="Times New Roman" w:cs="Times New Roman"/>
                      <w:b w:val="0"/>
                      <w:bCs/>
                      <w:sz w:val="21"/>
                    </w:rPr>
                    <w:t>数量</w:t>
                  </w:r>
                </w:p>
              </w:tc>
              <w:tc>
                <w:tcPr>
                  <w:tcW w:w="953" w:type="pct"/>
                  <w:vAlign w:val="center"/>
                </w:tcPr>
                <w:p>
                  <w:pPr>
                    <w:keepNext w:val="0"/>
                    <w:keepLines w:val="0"/>
                    <w:pageBreakBefore w:val="0"/>
                    <w:widowControl w:val="0"/>
                    <w:tabs>
                      <w:tab w:val="left" w:pos="5226"/>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cs="Times New Roman" w:eastAsiaTheme="minorEastAsia"/>
                      <w:b w:val="0"/>
                      <w:bCs/>
                      <w:sz w:val="21"/>
                      <w:lang w:eastAsia="zh-CN"/>
                    </w:rPr>
                  </w:pPr>
                  <w:r>
                    <w:rPr>
                      <w:rFonts w:hint="eastAsia" w:ascii="Times New Roman" w:hAnsi="Times New Roman" w:cs="Times New Roman"/>
                      <w:color w:val="auto"/>
                      <w:kern w:val="2"/>
                      <w:sz w:val="21"/>
                      <w:szCs w:val="24"/>
                      <w:lang w:val="en-US" w:eastAsia="zh-CN" w:bidi="ar-SA"/>
                    </w:rPr>
                    <w:t>噪声源位置</w:t>
                  </w:r>
                </w:p>
              </w:tc>
              <w:tc>
                <w:tcPr>
                  <w:tcW w:w="872" w:type="pct"/>
                  <w:vAlign w:val="center"/>
                </w:tcPr>
                <w:p>
                  <w:pPr>
                    <w:keepNext w:val="0"/>
                    <w:keepLines w:val="0"/>
                    <w:pageBreakBefore w:val="0"/>
                    <w:widowControl w:val="0"/>
                    <w:tabs>
                      <w:tab w:val="left" w:pos="5226"/>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b w:val="0"/>
                      <w:bCs/>
                      <w:sz w:val="21"/>
                      <w:vertAlign w:val="baseline"/>
                    </w:rPr>
                  </w:pPr>
                  <w:r>
                    <w:rPr>
                      <w:rFonts w:hint="default" w:ascii="Times New Roman" w:hAnsi="Times New Roman" w:cs="Times New Roman"/>
                      <w:color w:val="auto"/>
                      <w:kern w:val="2"/>
                      <w:sz w:val="21"/>
                      <w:szCs w:val="24"/>
                      <w:lang w:val="en-US" w:bidi="ar-SA"/>
                    </w:rPr>
                    <w:t>治理措施</w:t>
                  </w:r>
                </w:p>
              </w:tc>
              <w:tc>
                <w:tcPr>
                  <w:tcW w:w="626" w:type="pct"/>
                  <w:vAlign w:val="center"/>
                </w:tcPr>
                <w:p>
                  <w:pPr>
                    <w:keepNext w:val="0"/>
                    <w:keepLines w:val="0"/>
                    <w:pageBreakBefore w:val="0"/>
                    <w:widowControl w:val="0"/>
                    <w:tabs>
                      <w:tab w:val="left" w:pos="5226"/>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b w:val="0"/>
                      <w:bCs/>
                      <w:sz w:val="21"/>
                    </w:rPr>
                  </w:pPr>
                  <w:r>
                    <w:rPr>
                      <w:rFonts w:hint="eastAsia" w:ascii="Times New Roman" w:hAnsi="Times New Roman" w:cs="Times New Roman"/>
                      <w:color w:val="auto"/>
                      <w:kern w:val="2"/>
                      <w:sz w:val="21"/>
                      <w:szCs w:val="24"/>
                      <w:lang w:val="en-US" w:eastAsia="zh-CN" w:bidi="ar-SA"/>
                    </w:rPr>
                    <w:t>运行方式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00" w:type="pct"/>
                  <w:vAlign w:val="center"/>
                </w:tcPr>
                <w:p>
                  <w:pPr>
                    <w:pStyle w:val="34"/>
                    <w:keepNext w:val="0"/>
                    <w:keepLines w:val="0"/>
                    <w:pageBreakBefore w:val="0"/>
                    <w:widowControl w:val="0"/>
                    <w:numPr>
                      <w:ilvl w:val="0"/>
                      <w:numId w:val="0"/>
                    </w:numPr>
                    <w:tabs>
                      <w:tab w:val="left" w:pos="1415"/>
                    </w:tabs>
                    <w:kinsoku/>
                    <w:wordWrap/>
                    <w:overflowPunct/>
                    <w:topLinePunct w:val="0"/>
                    <w:autoSpaceDE w:val="0"/>
                    <w:autoSpaceDN w:val="0"/>
                    <w:bidi w:val="0"/>
                    <w:adjustRightInd/>
                    <w:snapToGrid/>
                    <w:spacing w:before="0"/>
                    <w:ind w:leftChars="0" w:right="0" w:rightChars="0"/>
                    <w:jc w:val="center"/>
                    <w:textAlignment w:val="auto"/>
                    <w:rPr>
                      <w:rFonts w:hint="default" w:ascii="Times New Roman" w:hAnsi="Times New Roman" w:eastAsia="宋体" w:cs="Times New Roman"/>
                      <w:b w:val="0"/>
                      <w:bCs/>
                      <w:sz w:val="21"/>
                      <w:vertAlign w:val="baseline"/>
                      <w:lang w:val="en-US" w:eastAsia="zh-CN"/>
                    </w:rPr>
                  </w:pPr>
                  <w:r>
                    <w:rPr>
                      <w:rFonts w:hint="eastAsia" w:ascii="Times New Roman" w:hAnsi="Times New Roman" w:eastAsia="宋体" w:cs="Times New Roman"/>
                      <w:b w:val="0"/>
                      <w:bCs/>
                      <w:sz w:val="21"/>
                      <w:vertAlign w:val="baseline"/>
                      <w:lang w:val="en-US" w:eastAsia="zh-CN"/>
                    </w:rPr>
                    <w:t>1</w:t>
                  </w:r>
                </w:p>
              </w:tc>
              <w:tc>
                <w:tcPr>
                  <w:tcW w:w="1968" w:type="dxa"/>
                  <w:vAlign w:val="center"/>
                </w:tcPr>
                <w:p>
                  <w:pPr>
                    <w:jc w:val="center"/>
                    <w:rPr>
                      <w:rFonts w:hint="eastAsia" w:ascii="Times New Roman" w:hAnsi="Times New Roman" w:cs="Times New Roman" w:eastAsiaTheme="minorEastAsia"/>
                      <w:b w:val="0"/>
                      <w:bCs/>
                      <w:sz w:val="21"/>
                      <w:vertAlign w:val="baseline"/>
                      <w:lang w:eastAsia="zh-CN"/>
                    </w:rPr>
                  </w:pPr>
                  <w:r>
                    <w:rPr>
                      <w:rFonts w:hint="eastAsia"/>
                      <w:szCs w:val="21"/>
                    </w:rPr>
                    <w:t>推台锯</w:t>
                  </w:r>
                </w:p>
              </w:tc>
              <w:tc>
                <w:tcPr>
                  <w:tcW w:w="654" w:type="dxa"/>
                  <w:vAlign w:val="center"/>
                </w:tcPr>
                <w:p>
                  <w:pPr>
                    <w:jc w:val="center"/>
                    <w:rPr>
                      <w:rFonts w:hint="default" w:ascii="Times New Roman" w:hAnsi="Times New Roman" w:eastAsia="宋体" w:cs="Times New Roman"/>
                      <w:b w:val="0"/>
                      <w:bCs/>
                      <w:sz w:val="21"/>
                      <w:vertAlign w:val="baseline"/>
                      <w:lang w:eastAsia="zh-CN"/>
                    </w:rPr>
                  </w:pPr>
                  <w:r>
                    <w:rPr>
                      <w:rFonts w:hint="default" w:ascii="Times New Roman" w:hAnsi="Times New Roman" w:cs="Times New Roman"/>
                      <w:b w:val="0"/>
                      <w:bCs/>
                      <w:sz w:val="21"/>
                      <w:vertAlign w:val="baseline"/>
                      <w:lang w:eastAsia="zh-CN"/>
                    </w:rPr>
                    <w:t>台</w:t>
                  </w:r>
                </w:p>
              </w:tc>
              <w:tc>
                <w:tcPr>
                  <w:tcW w:w="1257" w:type="dxa"/>
                  <w:vAlign w:val="center"/>
                </w:tcPr>
                <w:p>
                  <w:pPr>
                    <w:jc w:val="center"/>
                    <w:rPr>
                      <w:rFonts w:hint="default" w:ascii="Times New Roman" w:hAnsi="Times New Roman" w:eastAsia="宋体" w:cs="Times New Roman"/>
                      <w:b w:val="0"/>
                      <w:bCs/>
                      <w:sz w:val="21"/>
                      <w:vertAlign w:val="baseline"/>
                      <w:lang w:val="en-US" w:eastAsia="zh-CN"/>
                    </w:rPr>
                  </w:pPr>
                  <w:r>
                    <w:rPr>
                      <w:rFonts w:hint="eastAsia"/>
                      <w:szCs w:val="21"/>
                    </w:rPr>
                    <w:t>4</w:t>
                  </w:r>
                </w:p>
              </w:tc>
              <w:tc>
                <w:tcPr>
                  <w:tcW w:w="953" w:type="pct"/>
                  <w:vMerge w:val="restart"/>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r>
                    <w:rPr>
                      <w:rFonts w:hint="eastAsia" w:ascii="Times New Roman" w:hAnsi="Times New Roman" w:cs="Times New Roman"/>
                      <w:b w:val="0"/>
                      <w:bCs/>
                      <w:sz w:val="21"/>
                      <w:vertAlign w:val="baseline"/>
                      <w:lang w:val="en-US" w:eastAsia="zh-CN"/>
                    </w:rPr>
                    <w:t>项目区</w:t>
                  </w:r>
                </w:p>
              </w:tc>
              <w:tc>
                <w:tcPr>
                  <w:tcW w:w="872" w:type="pct"/>
                  <w:vMerge w:val="restart"/>
                  <w:vAlign w:val="center"/>
                </w:tcPr>
                <w:p>
                  <w:pPr>
                    <w:keepNext w:val="0"/>
                    <w:keepLines w:val="0"/>
                    <w:pageBreakBefore w:val="0"/>
                    <w:widowControl w:val="0"/>
                    <w:tabs>
                      <w:tab w:val="left" w:pos="567"/>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vertAlign w:val="baseline"/>
                      <w:lang w:val="en-US" w:eastAsia="zh-CN"/>
                    </w:rPr>
                  </w:pPr>
                  <w:r>
                    <w:rPr>
                      <w:rFonts w:hint="default" w:ascii="Times New Roman" w:hAnsi="Times New Roman" w:cs="Times New Roman"/>
                      <w:color w:val="auto"/>
                      <w:kern w:val="2"/>
                      <w:sz w:val="21"/>
                      <w:szCs w:val="24"/>
                      <w:lang w:val="en-US" w:bidi="ar-SA"/>
                    </w:rPr>
                    <w:t>低噪声设备、建筑隔声、基础减震等</w:t>
                  </w:r>
                </w:p>
              </w:tc>
              <w:tc>
                <w:tcPr>
                  <w:tcW w:w="626" w:type="pct"/>
                  <w:vMerge w:val="restart"/>
                  <w:vAlign w:val="center"/>
                </w:tcPr>
                <w:p>
                  <w:pPr>
                    <w:keepNext w:val="0"/>
                    <w:keepLines w:val="0"/>
                    <w:pageBreakBefore w:val="0"/>
                    <w:widowControl w:val="0"/>
                    <w:tabs>
                      <w:tab w:val="left" w:pos="567"/>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b w:val="0"/>
                      <w:bCs/>
                      <w:sz w:val="21"/>
                      <w:vertAlign w:val="baseline"/>
                      <w:lang w:val="en-US" w:eastAsia="zh-CN"/>
                    </w:rPr>
                  </w:pPr>
                  <w:r>
                    <w:rPr>
                      <w:rFonts w:hint="eastAsia" w:ascii="Times New Roman" w:hAnsi="Times New Roman" w:cs="Times New Roman"/>
                      <w:color w:val="auto"/>
                      <w:kern w:val="2"/>
                      <w:sz w:val="21"/>
                      <w:szCs w:val="24"/>
                      <w:lang w:val="en-US" w:eastAsia="zh-CN" w:bidi="ar-SA"/>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pct"/>
                  <w:vAlign w:val="center"/>
                </w:tcPr>
                <w:p>
                  <w:pPr>
                    <w:pStyle w:val="34"/>
                    <w:keepNext w:val="0"/>
                    <w:keepLines w:val="0"/>
                    <w:pageBreakBefore w:val="0"/>
                    <w:widowControl w:val="0"/>
                    <w:numPr>
                      <w:ilvl w:val="0"/>
                      <w:numId w:val="0"/>
                    </w:numPr>
                    <w:tabs>
                      <w:tab w:val="left" w:pos="1415"/>
                    </w:tabs>
                    <w:kinsoku/>
                    <w:wordWrap/>
                    <w:overflowPunct/>
                    <w:topLinePunct w:val="0"/>
                    <w:autoSpaceDE w:val="0"/>
                    <w:autoSpaceDN w:val="0"/>
                    <w:bidi w:val="0"/>
                    <w:adjustRightInd/>
                    <w:snapToGrid/>
                    <w:spacing w:before="0"/>
                    <w:ind w:leftChars="0" w:right="0" w:rightChars="0"/>
                    <w:jc w:val="center"/>
                    <w:textAlignment w:val="auto"/>
                    <w:rPr>
                      <w:rFonts w:hint="default" w:ascii="Times New Roman" w:hAnsi="Times New Roman" w:cs="Times New Roman"/>
                      <w:b w:val="0"/>
                      <w:bCs/>
                      <w:sz w:val="21"/>
                      <w:vertAlign w:val="baseline"/>
                      <w:lang w:val="en-US" w:eastAsia="zh-CN"/>
                    </w:rPr>
                  </w:pPr>
                  <w:r>
                    <w:rPr>
                      <w:rFonts w:hint="eastAsia" w:ascii="Times New Roman" w:hAnsi="Times New Roman" w:cs="Times New Roman"/>
                      <w:b w:val="0"/>
                      <w:bCs/>
                      <w:sz w:val="21"/>
                      <w:vertAlign w:val="baseline"/>
                      <w:lang w:val="en-US" w:eastAsia="zh-CN"/>
                    </w:rPr>
                    <w:t>2</w:t>
                  </w:r>
                </w:p>
              </w:tc>
              <w:tc>
                <w:tcPr>
                  <w:tcW w:w="1968" w:type="dxa"/>
                  <w:vAlign w:val="center"/>
                </w:tcPr>
                <w:p>
                  <w:pPr>
                    <w:jc w:val="center"/>
                    <w:rPr>
                      <w:rFonts w:hint="default" w:ascii="Times New Roman" w:hAnsi="Times New Roman" w:cs="Times New Roman"/>
                      <w:b w:val="0"/>
                      <w:bCs/>
                      <w:sz w:val="21"/>
                      <w:vertAlign w:val="baseline"/>
                      <w:lang w:eastAsia="zh-CN"/>
                    </w:rPr>
                  </w:pPr>
                  <w:r>
                    <w:rPr>
                      <w:rFonts w:hint="eastAsia"/>
                      <w:szCs w:val="21"/>
                    </w:rPr>
                    <w:t>砂光机</w:t>
                  </w:r>
                </w:p>
              </w:tc>
              <w:tc>
                <w:tcPr>
                  <w:tcW w:w="654" w:type="dxa"/>
                  <w:vAlign w:val="center"/>
                </w:tcPr>
                <w:p>
                  <w:pPr>
                    <w:jc w:val="center"/>
                    <w:rPr>
                      <w:rFonts w:hint="default" w:ascii="Times New Roman" w:hAnsi="Times New Roman" w:eastAsia="宋体" w:cs="Times New Roman"/>
                      <w:b w:val="0"/>
                      <w:bCs/>
                      <w:sz w:val="21"/>
                      <w:vertAlign w:val="baseline"/>
                      <w:lang w:eastAsia="zh-CN"/>
                    </w:rPr>
                  </w:pPr>
                  <w:r>
                    <w:rPr>
                      <w:rFonts w:hint="default" w:ascii="Times New Roman" w:hAnsi="Times New Roman" w:cs="Times New Roman"/>
                      <w:b w:val="0"/>
                      <w:bCs/>
                      <w:sz w:val="21"/>
                      <w:vertAlign w:val="baseline"/>
                      <w:lang w:eastAsia="zh-CN"/>
                    </w:rPr>
                    <w:t>台</w:t>
                  </w:r>
                </w:p>
              </w:tc>
              <w:tc>
                <w:tcPr>
                  <w:tcW w:w="1257" w:type="dxa"/>
                  <w:vAlign w:val="center"/>
                </w:tcPr>
                <w:p>
                  <w:pPr>
                    <w:jc w:val="center"/>
                    <w:rPr>
                      <w:rFonts w:hint="default" w:ascii="Times New Roman" w:hAnsi="Times New Roman" w:cs="Times New Roman"/>
                      <w:b w:val="0"/>
                      <w:bCs/>
                      <w:sz w:val="21"/>
                      <w:vertAlign w:val="baseline"/>
                      <w:lang w:val="en-US" w:eastAsia="zh-CN"/>
                    </w:rPr>
                  </w:pPr>
                  <w:r>
                    <w:rPr>
                      <w:rFonts w:hint="eastAsia"/>
                      <w:szCs w:val="21"/>
                    </w:rPr>
                    <w:t>4</w:t>
                  </w:r>
                </w:p>
              </w:tc>
              <w:tc>
                <w:tcPr>
                  <w:tcW w:w="953"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c>
                <w:tcPr>
                  <w:tcW w:w="872"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eastAsia="宋体" w:cs="Times New Roman"/>
                      <w:b w:val="0"/>
                      <w:bCs/>
                      <w:sz w:val="21"/>
                      <w:vertAlign w:val="baseline"/>
                      <w:lang w:val="en-US" w:eastAsia="zh-CN"/>
                    </w:rPr>
                  </w:pPr>
                </w:p>
              </w:tc>
              <w:tc>
                <w:tcPr>
                  <w:tcW w:w="626"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pct"/>
                  <w:vAlign w:val="center"/>
                </w:tcPr>
                <w:p>
                  <w:pPr>
                    <w:pStyle w:val="34"/>
                    <w:keepNext w:val="0"/>
                    <w:keepLines w:val="0"/>
                    <w:pageBreakBefore w:val="0"/>
                    <w:widowControl w:val="0"/>
                    <w:numPr>
                      <w:ilvl w:val="0"/>
                      <w:numId w:val="0"/>
                    </w:numPr>
                    <w:tabs>
                      <w:tab w:val="left" w:pos="1415"/>
                    </w:tabs>
                    <w:kinsoku/>
                    <w:wordWrap/>
                    <w:overflowPunct/>
                    <w:topLinePunct w:val="0"/>
                    <w:autoSpaceDE w:val="0"/>
                    <w:autoSpaceDN w:val="0"/>
                    <w:bidi w:val="0"/>
                    <w:adjustRightInd/>
                    <w:snapToGrid/>
                    <w:spacing w:before="0"/>
                    <w:ind w:leftChars="0" w:right="0" w:rightChars="0"/>
                    <w:jc w:val="center"/>
                    <w:textAlignment w:val="auto"/>
                    <w:rPr>
                      <w:rFonts w:hint="default" w:ascii="Times New Roman" w:hAnsi="Times New Roman" w:cs="Times New Roman"/>
                      <w:b w:val="0"/>
                      <w:bCs/>
                      <w:sz w:val="21"/>
                      <w:vertAlign w:val="baseline"/>
                      <w:lang w:val="en-US" w:eastAsia="zh-CN"/>
                    </w:rPr>
                  </w:pPr>
                  <w:r>
                    <w:rPr>
                      <w:rFonts w:hint="eastAsia" w:ascii="Times New Roman" w:hAnsi="Times New Roman" w:cs="Times New Roman"/>
                      <w:b w:val="0"/>
                      <w:bCs/>
                      <w:sz w:val="21"/>
                      <w:vertAlign w:val="baseline"/>
                      <w:lang w:val="en-US" w:eastAsia="zh-CN"/>
                    </w:rPr>
                    <w:t>3</w:t>
                  </w:r>
                </w:p>
              </w:tc>
              <w:tc>
                <w:tcPr>
                  <w:tcW w:w="1968" w:type="dxa"/>
                  <w:vAlign w:val="center"/>
                </w:tcPr>
                <w:p>
                  <w:pPr>
                    <w:jc w:val="center"/>
                    <w:rPr>
                      <w:sz w:val="21"/>
                    </w:rPr>
                  </w:pPr>
                  <w:r>
                    <w:rPr>
                      <w:rFonts w:hint="eastAsia"/>
                      <w:szCs w:val="21"/>
                    </w:rPr>
                    <w:t>数控车床</w:t>
                  </w:r>
                </w:p>
              </w:tc>
              <w:tc>
                <w:tcPr>
                  <w:tcW w:w="654" w:type="dxa"/>
                  <w:vAlign w:val="center"/>
                </w:tcPr>
                <w:p>
                  <w:pPr>
                    <w:jc w:val="center"/>
                    <w:rPr>
                      <w:rFonts w:hint="default" w:ascii="Times New Roman" w:hAnsi="Times New Roman" w:cs="Times New Roman"/>
                      <w:b w:val="0"/>
                      <w:bCs/>
                      <w:sz w:val="21"/>
                      <w:vertAlign w:val="baseline"/>
                      <w:lang w:eastAsia="zh-CN"/>
                    </w:rPr>
                  </w:pPr>
                  <w:r>
                    <w:rPr>
                      <w:rFonts w:hint="default" w:ascii="Times New Roman" w:hAnsi="Times New Roman" w:cs="Times New Roman"/>
                      <w:b w:val="0"/>
                      <w:bCs/>
                      <w:sz w:val="21"/>
                      <w:vertAlign w:val="baseline"/>
                      <w:lang w:eastAsia="zh-CN"/>
                    </w:rPr>
                    <w:t>台</w:t>
                  </w:r>
                </w:p>
              </w:tc>
              <w:tc>
                <w:tcPr>
                  <w:tcW w:w="1257" w:type="dxa"/>
                  <w:vAlign w:val="center"/>
                </w:tcPr>
                <w:p>
                  <w:pPr>
                    <w:jc w:val="center"/>
                    <w:rPr>
                      <w:rFonts w:hint="eastAsia" w:ascii="Times New Roman" w:hAnsi="Times New Roman" w:cs="Times New Roman"/>
                      <w:b w:val="0"/>
                      <w:bCs/>
                      <w:sz w:val="21"/>
                      <w:vertAlign w:val="baseline"/>
                      <w:lang w:val="en-US" w:eastAsia="zh-CN"/>
                    </w:rPr>
                  </w:pPr>
                  <w:r>
                    <w:rPr>
                      <w:rFonts w:hint="eastAsia"/>
                      <w:szCs w:val="21"/>
                    </w:rPr>
                    <w:t>2</w:t>
                  </w:r>
                </w:p>
              </w:tc>
              <w:tc>
                <w:tcPr>
                  <w:tcW w:w="953"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c>
                <w:tcPr>
                  <w:tcW w:w="872"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eastAsia="宋体" w:cs="Times New Roman"/>
                      <w:b w:val="0"/>
                      <w:bCs/>
                      <w:sz w:val="21"/>
                      <w:vertAlign w:val="baseline"/>
                      <w:lang w:val="en-US" w:eastAsia="zh-CN"/>
                    </w:rPr>
                  </w:pPr>
                </w:p>
              </w:tc>
              <w:tc>
                <w:tcPr>
                  <w:tcW w:w="626"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pct"/>
                  <w:vAlign w:val="center"/>
                </w:tcPr>
                <w:p>
                  <w:pPr>
                    <w:pStyle w:val="34"/>
                    <w:keepNext w:val="0"/>
                    <w:keepLines w:val="0"/>
                    <w:pageBreakBefore w:val="0"/>
                    <w:widowControl w:val="0"/>
                    <w:numPr>
                      <w:ilvl w:val="0"/>
                      <w:numId w:val="0"/>
                    </w:numPr>
                    <w:tabs>
                      <w:tab w:val="left" w:pos="1415"/>
                    </w:tabs>
                    <w:kinsoku/>
                    <w:wordWrap/>
                    <w:overflowPunct/>
                    <w:topLinePunct w:val="0"/>
                    <w:autoSpaceDE w:val="0"/>
                    <w:autoSpaceDN w:val="0"/>
                    <w:bidi w:val="0"/>
                    <w:adjustRightInd/>
                    <w:snapToGrid/>
                    <w:spacing w:before="0"/>
                    <w:ind w:leftChars="0" w:right="0" w:rightChars="0"/>
                    <w:jc w:val="center"/>
                    <w:textAlignment w:val="auto"/>
                    <w:rPr>
                      <w:rFonts w:hint="default" w:ascii="Times New Roman" w:hAnsi="Times New Roman" w:cs="Times New Roman"/>
                      <w:b w:val="0"/>
                      <w:bCs/>
                      <w:sz w:val="21"/>
                      <w:vertAlign w:val="baseline"/>
                      <w:lang w:val="en-US" w:eastAsia="zh-CN"/>
                    </w:rPr>
                  </w:pPr>
                  <w:r>
                    <w:rPr>
                      <w:rFonts w:hint="eastAsia" w:ascii="Times New Roman" w:hAnsi="Times New Roman" w:cs="Times New Roman"/>
                      <w:b w:val="0"/>
                      <w:bCs/>
                      <w:sz w:val="21"/>
                      <w:vertAlign w:val="baseline"/>
                      <w:lang w:val="en-US" w:eastAsia="zh-CN"/>
                    </w:rPr>
                    <w:t>4</w:t>
                  </w:r>
                </w:p>
              </w:tc>
              <w:tc>
                <w:tcPr>
                  <w:tcW w:w="1968" w:type="dxa"/>
                  <w:vAlign w:val="center"/>
                </w:tcPr>
                <w:p>
                  <w:pPr>
                    <w:jc w:val="center"/>
                    <w:rPr>
                      <w:sz w:val="21"/>
                    </w:rPr>
                  </w:pPr>
                  <w:r>
                    <w:rPr>
                      <w:rFonts w:hint="eastAsia"/>
                      <w:szCs w:val="21"/>
                    </w:rPr>
                    <w:t>手动打磨机</w:t>
                  </w:r>
                </w:p>
              </w:tc>
              <w:tc>
                <w:tcPr>
                  <w:tcW w:w="654" w:type="dxa"/>
                  <w:vAlign w:val="center"/>
                </w:tcPr>
                <w:p>
                  <w:pPr>
                    <w:jc w:val="center"/>
                    <w:rPr>
                      <w:rFonts w:hint="default" w:ascii="Times New Roman" w:hAnsi="Times New Roman" w:cs="Times New Roman"/>
                      <w:b w:val="0"/>
                      <w:bCs/>
                      <w:sz w:val="21"/>
                      <w:vertAlign w:val="baseline"/>
                      <w:lang w:eastAsia="zh-CN"/>
                    </w:rPr>
                  </w:pPr>
                  <w:r>
                    <w:rPr>
                      <w:rFonts w:hint="default" w:ascii="Times New Roman" w:hAnsi="Times New Roman" w:cs="Times New Roman"/>
                      <w:b w:val="0"/>
                      <w:bCs/>
                      <w:sz w:val="21"/>
                      <w:vertAlign w:val="baseline"/>
                      <w:lang w:eastAsia="zh-CN"/>
                    </w:rPr>
                    <w:t>台</w:t>
                  </w:r>
                </w:p>
              </w:tc>
              <w:tc>
                <w:tcPr>
                  <w:tcW w:w="1257" w:type="dxa"/>
                  <w:vAlign w:val="center"/>
                </w:tcPr>
                <w:p>
                  <w:pPr>
                    <w:jc w:val="center"/>
                    <w:rPr>
                      <w:rFonts w:hint="eastAsia" w:ascii="Times New Roman" w:hAnsi="Times New Roman" w:cs="Times New Roman"/>
                      <w:b w:val="0"/>
                      <w:bCs/>
                      <w:sz w:val="21"/>
                      <w:vertAlign w:val="baseline"/>
                      <w:lang w:val="en-US" w:eastAsia="zh-CN"/>
                    </w:rPr>
                  </w:pPr>
                  <w:r>
                    <w:rPr>
                      <w:rFonts w:hint="eastAsia"/>
                      <w:szCs w:val="21"/>
                    </w:rPr>
                    <w:t>6</w:t>
                  </w:r>
                </w:p>
              </w:tc>
              <w:tc>
                <w:tcPr>
                  <w:tcW w:w="953"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c>
                <w:tcPr>
                  <w:tcW w:w="872"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eastAsia="宋体" w:cs="Times New Roman"/>
                      <w:b w:val="0"/>
                      <w:bCs/>
                      <w:sz w:val="21"/>
                      <w:vertAlign w:val="baseline"/>
                      <w:lang w:val="en-US" w:eastAsia="zh-CN"/>
                    </w:rPr>
                  </w:pPr>
                </w:p>
              </w:tc>
              <w:tc>
                <w:tcPr>
                  <w:tcW w:w="626"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pct"/>
                  <w:vAlign w:val="center"/>
                </w:tcPr>
                <w:p>
                  <w:pPr>
                    <w:pStyle w:val="34"/>
                    <w:keepNext w:val="0"/>
                    <w:keepLines w:val="0"/>
                    <w:pageBreakBefore w:val="0"/>
                    <w:widowControl w:val="0"/>
                    <w:numPr>
                      <w:ilvl w:val="0"/>
                      <w:numId w:val="0"/>
                    </w:numPr>
                    <w:tabs>
                      <w:tab w:val="left" w:pos="1415"/>
                    </w:tabs>
                    <w:kinsoku/>
                    <w:wordWrap/>
                    <w:overflowPunct/>
                    <w:topLinePunct w:val="0"/>
                    <w:autoSpaceDE w:val="0"/>
                    <w:autoSpaceDN w:val="0"/>
                    <w:bidi w:val="0"/>
                    <w:adjustRightInd/>
                    <w:snapToGrid/>
                    <w:spacing w:before="0"/>
                    <w:ind w:leftChars="0" w:right="0" w:rightChars="0"/>
                    <w:jc w:val="center"/>
                    <w:textAlignment w:val="auto"/>
                    <w:rPr>
                      <w:rFonts w:hint="default" w:ascii="Times New Roman" w:hAnsi="Times New Roman" w:cs="Times New Roman"/>
                      <w:b w:val="0"/>
                      <w:bCs/>
                      <w:sz w:val="21"/>
                      <w:vertAlign w:val="baseline"/>
                      <w:lang w:val="en-US" w:eastAsia="zh-CN"/>
                    </w:rPr>
                  </w:pPr>
                  <w:r>
                    <w:rPr>
                      <w:rFonts w:hint="eastAsia" w:ascii="Times New Roman" w:hAnsi="Times New Roman" w:cs="Times New Roman"/>
                      <w:b w:val="0"/>
                      <w:bCs/>
                      <w:sz w:val="21"/>
                      <w:vertAlign w:val="baseline"/>
                      <w:lang w:val="en-US" w:eastAsia="zh-CN"/>
                    </w:rPr>
                    <w:t>5</w:t>
                  </w:r>
                </w:p>
              </w:tc>
              <w:tc>
                <w:tcPr>
                  <w:tcW w:w="1968" w:type="dxa"/>
                  <w:vAlign w:val="center"/>
                </w:tcPr>
                <w:p>
                  <w:pPr>
                    <w:jc w:val="center"/>
                    <w:rPr>
                      <w:sz w:val="21"/>
                    </w:rPr>
                  </w:pPr>
                  <w:r>
                    <w:rPr>
                      <w:rFonts w:hint="eastAsia"/>
                      <w:szCs w:val="21"/>
                    </w:rPr>
                    <w:t>风机</w:t>
                  </w:r>
                </w:p>
              </w:tc>
              <w:tc>
                <w:tcPr>
                  <w:tcW w:w="654" w:type="dxa"/>
                  <w:vAlign w:val="center"/>
                </w:tcPr>
                <w:p>
                  <w:pPr>
                    <w:jc w:val="center"/>
                    <w:rPr>
                      <w:rFonts w:hint="default" w:ascii="Times New Roman" w:hAnsi="Times New Roman" w:cs="Times New Roman"/>
                      <w:b w:val="0"/>
                      <w:bCs/>
                      <w:sz w:val="21"/>
                      <w:vertAlign w:val="baseline"/>
                      <w:lang w:eastAsia="zh-CN"/>
                    </w:rPr>
                  </w:pPr>
                  <w:r>
                    <w:rPr>
                      <w:rFonts w:hint="default" w:ascii="Times New Roman" w:hAnsi="Times New Roman" w:cs="Times New Roman"/>
                      <w:b w:val="0"/>
                      <w:bCs/>
                      <w:sz w:val="21"/>
                      <w:vertAlign w:val="baseline"/>
                      <w:lang w:eastAsia="zh-CN"/>
                    </w:rPr>
                    <w:t>台</w:t>
                  </w:r>
                </w:p>
              </w:tc>
              <w:tc>
                <w:tcPr>
                  <w:tcW w:w="1257" w:type="dxa"/>
                  <w:vAlign w:val="center"/>
                </w:tcPr>
                <w:p>
                  <w:pPr>
                    <w:jc w:val="center"/>
                    <w:rPr>
                      <w:rFonts w:hint="eastAsia" w:ascii="Times New Roman" w:hAnsi="Times New Roman" w:cs="Times New Roman"/>
                      <w:b w:val="0"/>
                      <w:bCs/>
                      <w:sz w:val="21"/>
                      <w:vertAlign w:val="baseline"/>
                      <w:lang w:val="en-US" w:eastAsia="zh-CN"/>
                    </w:rPr>
                  </w:pPr>
                  <w:r>
                    <w:rPr>
                      <w:rFonts w:hint="eastAsia"/>
                      <w:szCs w:val="21"/>
                    </w:rPr>
                    <w:t>4</w:t>
                  </w:r>
                </w:p>
              </w:tc>
              <w:tc>
                <w:tcPr>
                  <w:tcW w:w="953"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c>
                <w:tcPr>
                  <w:tcW w:w="872"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eastAsia="宋体" w:cs="Times New Roman"/>
                      <w:b w:val="0"/>
                      <w:bCs/>
                      <w:sz w:val="21"/>
                      <w:vertAlign w:val="baseline"/>
                      <w:lang w:val="en-US" w:eastAsia="zh-CN"/>
                    </w:rPr>
                  </w:pPr>
                </w:p>
              </w:tc>
              <w:tc>
                <w:tcPr>
                  <w:tcW w:w="626"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pct"/>
                  <w:vAlign w:val="center"/>
                </w:tcPr>
                <w:p>
                  <w:pPr>
                    <w:pStyle w:val="34"/>
                    <w:keepNext w:val="0"/>
                    <w:keepLines w:val="0"/>
                    <w:pageBreakBefore w:val="0"/>
                    <w:widowControl w:val="0"/>
                    <w:numPr>
                      <w:ilvl w:val="0"/>
                      <w:numId w:val="0"/>
                    </w:numPr>
                    <w:tabs>
                      <w:tab w:val="left" w:pos="1415"/>
                    </w:tabs>
                    <w:kinsoku/>
                    <w:wordWrap/>
                    <w:overflowPunct/>
                    <w:topLinePunct w:val="0"/>
                    <w:autoSpaceDE w:val="0"/>
                    <w:autoSpaceDN w:val="0"/>
                    <w:bidi w:val="0"/>
                    <w:adjustRightInd/>
                    <w:snapToGrid/>
                    <w:spacing w:before="0"/>
                    <w:ind w:leftChars="0" w:right="0" w:rightChars="0"/>
                    <w:jc w:val="center"/>
                    <w:textAlignment w:val="auto"/>
                    <w:rPr>
                      <w:rFonts w:hint="default" w:ascii="Times New Roman" w:hAnsi="Times New Roman" w:cs="Times New Roman"/>
                      <w:b w:val="0"/>
                      <w:bCs/>
                      <w:sz w:val="21"/>
                      <w:vertAlign w:val="baseline"/>
                      <w:lang w:val="en-US" w:eastAsia="zh-CN"/>
                    </w:rPr>
                  </w:pPr>
                  <w:r>
                    <w:rPr>
                      <w:rFonts w:hint="eastAsia" w:ascii="Times New Roman" w:hAnsi="Times New Roman" w:cs="Times New Roman"/>
                      <w:b w:val="0"/>
                      <w:bCs/>
                      <w:sz w:val="21"/>
                      <w:vertAlign w:val="baseline"/>
                      <w:lang w:val="en-US" w:eastAsia="zh-CN"/>
                    </w:rPr>
                    <w:t>6</w:t>
                  </w:r>
                </w:p>
              </w:tc>
              <w:tc>
                <w:tcPr>
                  <w:tcW w:w="1038" w:type="pct"/>
                  <w:vAlign w:val="center"/>
                </w:tcPr>
                <w:p>
                  <w:pPr>
                    <w:jc w:val="center"/>
                    <w:rPr>
                      <w:sz w:val="21"/>
                    </w:rPr>
                  </w:pPr>
                  <w:r>
                    <w:rPr>
                      <w:rFonts w:hint="eastAsia"/>
                      <w:szCs w:val="21"/>
                    </w:rPr>
                    <w:t>风机</w:t>
                  </w:r>
                </w:p>
              </w:tc>
              <w:tc>
                <w:tcPr>
                  <w:tcW w:w="345" w:type="pct"/>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firstLine="0" w:firstLineChars="0"/>
                    <w:jc w:val="center"/>
                    <w:textAlignment w:val="auto"/>
                    <w:rPr>
                      <w:rFonts w:hint="default" w:ascii="Times New Roman" w:hAnsi="Times New Roman" w:cs="Times New Roman"/>
                      <w:b w:val="0"/>
                      <w:bCs/>
                      <w:sz w:val="21"/>
                      <w:vertAlign w:val="baseline"/>
                      <w:lang w:eastAsia="zh-CN"/>
                    </w:rPr>
                  </w:pPr>
                  <w:r>
                    <w:rPr>
                      <w:rFonts w:hint="default" w:ascii="Times New Roman" w:hAnsi="Times New Roman" w:cs="Times New Roman"/>
                      <w:b w:val="0"/>
                      <w:bCs/>
                      <w:sz w:val="21"/>
                      <w:vertAlign w:val="baseline"/>
                      <w:lang w:eastAsia="zh-CN"/>
                    </w:rPr>
                    <w:t>台</w:t>
                  </w:r>
                </w:p>
              </w:tc>
              <w:tc>
                <w:tcPr>
                  <w:tcW w:w="663" w:type="pct"/>
                  <w:vAlign w:val="center"/>
                </w:tcPr>
                <w:p>
                  <w:pPr>
                    <w:jc w:val="center"/>
                    <w:rPr>
                      <w:rFonts w:hint="eastAsia" w:ascii="Times New Roman" w:hAnsi="Times New Roman" w:cs="Times New Roman"/>
                      <w:b w:val="0"/>
                      <w:bCs/>
                      <w:sz w:val="21"/>
                      <w:vertAlign w:val="baseline"/>
                      <w:lang w:val="en-US" w:eastAsia="zh-CN"/>
                    </w:rPr>
                  </w:pPr>
                  <w:r>
                    <w:rPr>
                      <w:rFonts w:hint="eastAsia"/>
                      <w:szCs w:val="21"/>
                    </w:rPr>
                    <w:t>3</w:t>
                  </w:r>
                </w:p>
              </w:tc>
              <w:tc>
                <w:tcPr>
                  <w:tcW w:w="953"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c>
                <w:tcPr>
                  <w:tcW w:w="872"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eastAsia="宋体" w:cs="Times New Roman"/>
                      <w:b w:val="0"/>
                      <w:bCs/>
                      <w:sz w:val="21"/>
                      <w:vertAlign w:val="baseline"/>
                      <w:lang w:val="en-US" w:eastAsia="zh-CN"/>
                    </w:rPr>
                  </w:pPr>
                </w:p>
              </w:tc>
              <w:tc>
                <w:tcPr>
                  <w:tcW w:w="626" w:type="pct"/>
                  <w:vMerge w:val="continue"/>
                  <w:vAlign w:val="center"/>
                </w:tcPr>
                <w:p>
                  <w:pPr>
                    <w:pStyle w:val="34"/>
                    <w:keepNext w:val="0"/>
                    <w:keepLines w:val="0"/>
                    <w:pageBreakBefore w:val="0"/>
                    <w:widowControl w:val="0"/>
                    <w:tabs>
                      <w:tab w:val="left" w:pos="1415"/>
                    </w:tabs>
                    <w:kinsoku/>
                    <w:wordWrap/>
                    <w:overflowPunct/>
                    <w:topLinePunct w:val="0"/>
                    <w:autoSpaceDE w:val="0"/>
                    <w:autoSpaceDN w:val="0"/>
                    <w:bidi w:val="0"/>
                    <w:adjustRightInd/>
                    <w:snapToGrid/>
                    <w:spacing w:before="0"/>
                    <w:ind w:left="0" w:firstLine="0"/>
                    <w:jc w:val="center"/>
                    <w:textAlignment w:val="auto"/>
                    <w:rPr>
                      <w:rFonts w:hint="default" w:ascii="Times New Roman" w:hAnsi="Times New Roman" w:cs="Times New Roman"/>
                      <w:b w:val="0"/>
                      <w:bCs/>
                      <w:sz w:val="21"/>
                      <w:vertAlign w:val="baseline"/>
                      <w:lang w:val="en-US" w:eastAsia="zh-CN"/>
                    </w:rPr>
                  </w:pPr>
                </w:p>
              </w:tc>
            </w:tr>
          </w:tbl>
          <w:p>
            <w:pPr>
              <w:numPr>
                <w:ilvl w:val="0"/>
                <w:numId w:val="3"/>
              </w:numPr>
              <w:spacing w:line="360" w:lineRule="auto"/>
              <w:ind w:firstLine="482" w:firstLineChars="200"/>
              <w:rPr>
                <w:rFonts w:hint="eastAsia"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固体废物污染物及源强分析</w:t>
            </w:r>
            <w:bookmarkStart w:id="2" w:name="_Toc18251"/>
            <w:bookmarkStart w:id="3" w:name="_Toc24990"/>
            <w:bookmarkStart w:id="4" w:name="_Toc20734"/>
            <w:bookmarkStart w:id="5" w:name="_Toc21890"/>
            <w:bookmarkStart w:id="6" w:name="_Toc12457724"/>
          </w:p>
          <w:p>
            <w:pPr>
              <w:numPr>
                <w:ilvl w:val="0"/>
                <w:numId w:val="0"/>
              </w:numPr>
              <w:spacing w:line="360" w:lineRule="auto"/>
              <w:ind w:firstLine="480" w:firstLineChars="200"/>
              <w:rPr>
                <w:rFonts w:hint="eastAsia" w:eastAsiaTheme="minorEastAsia"/>
                <w:b w:val="0"/>
                <w:bCs/>
                <w:color w:val="auto"/>
                <w:sz w:val="24"/>
                <w:szCs w:val="24"/>
                <w:lang w:eastAsia="zh-CN"/>
              </w:rPr>
            </w:pPr>
            <w:r>
              <w:rPr>
                <w:kern w:val="0"/>
                <w:sz w:val="24"/>
              </w:rPr>
              <w:t>项目产生的固废主要包括一般工业固体废物、危险废物以及职工生活垃圾。</w:t>
            </w:r>
            <w:r>
              <w:rPr>
                <w:rFonts w:hint="eastAsia"/>
                <w:b w:val="0"/>
                <w:bCs/>
                <w:color w:val="auto"/>
                <w:sz w:val="24"/>
                <w:szCs w:val="24"/>
              </w:rPr>
              <w:t>固废产生及排放去向</w:t>
            </w:r>
            <w:r>
              <w:rPr>
                <w:rFonts w:hint="eastAsia"/>
                <w:b w:val="0"/>
                <w:bCs/>
                <w:color w:val="auto"/>
                <w:sz w:val="24"/>
                <w:szCs w:val="24"/>
                <w:lang w:eastAsia="zh-CN"/>
              </w:rPr>
              <w:t>如下表。</w:t>
            </w:r>
          </w:p>
          <w:p>
            <w:pPr>
              <w:spacing w:line="360" w:lineRule="auto"/>
              <w:ind w:firstLine="482" w:firstLineChars="200"/>
              <w:jc w:val="center"/>
            </w:pPr>
            <w:r>
              <w:rPr>
                <w:rFonts w:eastAsia="宋体" w:cs="Times New Roman"/>
                <w:b/>
                <w:bCs/>
                <w:color w:val="000000" w:themeColor="text1"/>
                <w:sz w:val="24"/>
                <w14:textFill>
                  <w14:solidFill>
                    <w14:schemeClr w14:val="tx1"/>
                  </w14:solidFill>
                </w14:textFill>
              </w:rPr>
              <w:t>表</w:t>
            </w:r>
            <w:r>
              <w:rPr>
                <w:rFonts w:hint="eastAsia" w:eastAsia="宋体" w:cs="Times New Roman"/>
                <w:b/>
                <w:bCs/>
                <w:color w:val="000000" w:themeColor="text1"/>
                <w:sz w:val="24"/>
                <w14:textFill>
                  <w14:solidFill>
                    <w14:schemeClr w14:val="tx1"/>
                  </w14:solidFill>
                </w14:textFill>
              </w:rPr>
              <w:t>3.</w:t>
            </w:r>
            <w:r>
              <w:rPr>
                <w:rFonts w:hint="eastAsia" w:eastAsia="宋体" w:cs="Times New Roman"/>
                <w:b/>
                <w:bCs/>
                <w:color w:val="000000" w:themeColor="text1"/>
                <w:sz w:val="24"/>
                <w:lang w:val="en-US" w:eastAsia="zh-CN"/>
                <w14:textFill>
                  <w14:solidFill>
                    <w14:schemeClr w14:val="tx1"/>
                  </w14:solidFill>
                </w14:textFill>
              </w:rPr>
              <w:t>4</w:t>
            </w:r>
            <w:r>
              <w:rPr>
                <w:rFonts w:eastAsia="宋体" w:cs="Times New Roman"/>
                <w:b/>
                <w:bCs/>
                <w:color w:val="000000" w:themeColor="text1"/>
                <w:sz w:val="24"/>
                <w14:textFill>
                  <w14:solidFill>
                    <w14:schemeClr w14:val="tx1"/>
                  </w14:solidFill>
                </w14:textFill>
              </w:rPr>
              <w:t xml:space="preserve"> 固废产生及排放去向一览表</w:t>
            </w:r>
          </w:p>
          <w:tbl>
            <w:tblPr>
              <w:tblStyle w:val="21"/>
              <w:tblW w:w="9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761"/>
              <w:gridCol w:w="705"/>
              <w:gridCol w:w="997"/>
              <w:gridCol w:w="996"/>
              <w:gridCol w:w="966"/>
              <w:gridCol w:w="1151"/>
              <w:gridCol w:w="686"/>
              <w:gridCol w:w="774"/>
              <w:gridCol w:w="842"/>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92" w:type="dxa"/>
                  <w:vAlign w:val="center"/>
                </w:tcPr>
                <w:p>
                  <w:pPr>
                    <w:widowControl/>
                    <w:adjustRightInd w:val="0"/>
                    <w:snapToGrid w:val="0"/>
                    <w:spacing w:line="240" w:lineRule="auto"/>
                    <w:ind w:firstLine="0" w:firstLineChars="0"/>
                    <w:jc w:val="center"/>
                    <w:rPr>
                      <w:color w:val="0D0D0D" w:themeColor="text1" w:themeTint="F2"/>
                      <w:sz w:val="21"/>
                      <w:szCs w:val="21"/>
                      <w:lang w:val="en-GB"/>
                      <w14:textFill>
                        <w14:solidFill>
                          <w14:schemeClr w14:val="tx1">
                            <w14:lumMod w14:val="95000"/>
                            <w14:lumOff w14:val="5000"/>
                          </w14:schemeClr>
                        </w14:solidFill>
                      </w14:textFill>
                    </w:rPr>
                  </w:pPr>
                  <w:r>
                    <w:rPr>
                      <w:color w:val="0D0D0D" w:themeColor="text1" w:themeTint="F2"/>
                      <w:sz w:val="21"/>
                      <w:szCs w:val="21"/>
                      <w:lang w:val="en-GB"/>
                      <w14:textFill>
                        <w14:solidFill>
                          <w14:schemeClr w14:val="tx1">
                            <w14:lumMod w14:val="95000"/>
                            <w14:lumOff w14:val="5000"/>
                          </w14:schemeClr>
                        </w14:solidFill>
                      </w14:textFill>
                    </w:rPr>
                    <w:t>废物名称</w:t>
                  </w:r>
                </w:p>
              </w:tc>
              <w:tc>
                <w:tcPr>
                  <w:tcW w:w="761" w:type="dxa"/>
                  <w:vAlign w:val="center"/>
                </w:tcPr>
                <w:p>
                  <w:pPr>
                    <w:widowControl/>
                    <w:adjustRightInd w:val="0"/>
                    <w:snapToGrid w:val="0"/>
                    <w:spacing w:line="240" w:lineRule="auto"/>
                    <w:ind w:firstLine="0" w:firstLineChars="0"/>
                    <w:jc w:val="center"/>
                    <w:rPr>
                      <w:rFonts w:hint="eastAsia" w:eastAsiaTheme="minorEastAsia"/>
                      <w:color w:val="0D0D0D" w:themeColor="text1" w:themeTint="F2"/>
                      <w:sz w:val="21"/>
                      <w:szCs w:val="21"/>
                      <w:lang w:val="en-GB" w:eastAsia="zh-CN"/>
                      <w14:textFill>
                        <w14:solidFill>
                          <w14:schemeClr w14:val="tx1">
                            <w14:lumMod w14:val="95000"/>
                            <w14:lumOff w14:val="5000"/>
                          </w14:schemeClr>
                        </w14:solidFill>
                      </w14:textFill>
                    </w:rPr>
                  </w:pPr>
                  <w:r>
                    <w:rPr>
                      <w:rFonts w:hint="eastAsia"/>
                      <w:color w:val="0D0D0D" w:themeColor="text1" w:themeTint="F2"/>
                      <w:sz w:val="21"/>
                      <w:szCs w:val="21"/>
                      <w:lang w:val="en-GB" w:eastAsia="zh-CN"/>
                      <w14:textFill>
                        <w14:solidFill>
                          <w14:schemeClr w14:val="tx1">
                            <w14:lumMod w14:val="95000"/>
                            <w14:lumOff w14:val="5000"/>
                          </w14:schemeClr>
                        </w14:solidFill>
                      </w14:textFill>
                    </w:rPr>
                    <w:t>来源</w:t>
                  </w:r>
                </w:p>
              </w:tc>
              <w:tc>
                <w:tcPr>
                  <w:tcW w:w="705" w:type="dxa"/>
                  <w:vAlign w:val="center"/>
                </w:tcPr>
                <w:p>
                  <w:pPr>
                    <w:widowControl/>
                    <w:adjustRightInd w:val="0"/>
                    <w:snapToGrid w:val="0"/>
                    <w:spacing w:line="240" w:lineRule="auto"/>
                    <w:ind w:firstLine="0" w:firstLineChars="0"/>
                    <w:jc w:val="center"/>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性质</w:t>
                  </w:r>
                </w:p>
              </w:tc>
              <w:tc>
                <w:tcPr>
                  <w:tcW w:w="997" w:type="dxa"/>
                  <w:vAlign w:val="center"/>
                </w:tcPr>
                <w:p>
                  <w:pPr>
                    <w:widowControl/>
                    <w:adjustRightInd w:val="0"/>
                    <w:snapToGrid w:val="0"/>
                    <w:spacing w:line="240" w:lineRule="auto"/>
                    <w:ind w:firstLine="0" w:firstLineChars="0"/>
                    <w:jc w:val="center"/>
                    <w:rPr>
                      <w:color w:val="0D0D0D" w:themeColor="text1" w:themeTint="F2"/>
                      <w:kern w:val="0"/>
                      <w:sz w:val="21"/>
                      <w:szCs w:val="21"/>
                      <w14:textFill>
                        <w14:solidFill>
                          <w14:schemeClr w14:val="tx1">
                            <w14:lumMod w14:val="95000"/>
                            <w14:lumOff w14:val="5000"/>
                          </w14:schemeClr>
                        </w14:solidFill>
                      </w14:textFill>
                    </w:rPr>
                  </w:pPr>
                  <w:r>
                    <w:rPr>
                      <w:color w:val="0D0D0D" w:themeColor="text1" w:themeTint="F2"/>
                      <w:sz w:val="21"/>
                      <w:szCs w:val="21"/>
                      <w14:textFill>
                        <w14:solidFill>
                          <w14:schemeClr w14:val="tx1">
                            <w14:lumMod w14:val="95000"/>
                            <w14:lumOff w14:val="5000"/>
                          </w14:schemeClr>
                        </w14:solidFill>
                      </w14:textFill>
                    </w:rPr>
                    <w:t>产生量</w:t>
                  </w:r>
                </w:p>
              </w:tc>
              <w:tc>
                <w:tcPr>
                  <w:tcW w:w="996" w:type="dxa"/>
                  <w:vAlign w:val="center"/>
                </w:tcPr>
                <w:p>
                  <w:pPr>
                    <w:widowControl/>
                    <w:adjustRightInd w:val="0"/>
                    <w:snapToGrid w:val="0"/>
                    <w:spacing w:line="240" w:lineRule="auto"/>
                    <w:ind w:firstLine="0" w:firstLineChars="0"/>
                    <w:jc w:val="center"/>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处理处置量</w:t>
                  </w:r>
                </w:p>
              </w:tc>
              <w:tc>
                <w:tcPr>
                  <w:tcW w:w="966" w:type="dxa"/>
                  <w:vAlign w:val="center"/>
                </w:tcPr>
                <w:p>
                  <w:pPr>
                    <w:adjustRightInd w:val="0"/>
                    <w:snapToGrid w:val="0"/>
                    <w:spacing w:line="240" w:lineRule="auto"/>
                    <w:ind w:firstLine="0" w:firstLineChars="0"/>
                    <w:jc w:val="center"/>
                    <w:rPr>
                      <w:rFonts w:hint="default"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color w:val="0D0D0D" w:themeColor="text1" w:themeTint="F2"/>
                      <w:sz w:val="21"/>
                      <w:szCs w:val="21"/>
                      <w:lang w:val="en-GB" w:eastAsia="zh-CN"/>
                      <w14:textFill>
                        <w14:solidFill>
                          <w14:schemeClr w14:val="tx1">
                            <w14:lumMod w14:val="95000"/>
                            <w14:lumOff w14:val="5000"/>
                          </w14:schemeClr>
                        </w14:solidFill>
                      </w14:textFill>
                    </w:rPr>
                    <w:t>处理</w:t>
                  </w:r>
                  <w:r>
                    <w:rPr>
                      <w:rFonts w:hint="eastAsia"/>
                      <w:color w:val="0D0D0D" w:themeColor="text1" w:themeTint="F2"/>
                      <w:sz w:val="21"/>
                      <w:szCs w:val="21"/>
                      <w:lang w:val="en-US" w:eastAsia="zh-CN"/>
                      <w14:textFill>
                        <w14:solidFill>
                          <w14:schemeClr w14:val="tx1">
                            <w14:lumMod w14:val="95000"/>
                            <w14:lumOff w14:val="5000"/>
                          </w14:schemeClr>
                        </w14:solidFill>
                      </w14:textFill>
                    </w:rPr>
                    <w:t>/处置方式</w:t>
                  </w:r>
                </w:p>
              </w:tc>
              <w:tc>
                <w:tcPr>
                  <w:tcW w:w="1151" w:type="dxa"/>
                  <w:vAlign w:val="center"/>
                </w:tcPr>
                <w:p>
                  <w:pPr>
                    <w:adjustRightInd w:val="0"/>
                    <w:snapToGrid w:val="0"/>
                    <w:spacing w:line="240" w:lineRule="auto"/>
                    <w:ind w:firstLine="0" w:firstLineChars="0"/>
                    <w:jc w:val="center"/>
                    <w:rPr>
                      <w:rFonts w:hint="eastAsia"/>
                      <w:color w:val="0D0D0D" w:themeColor="text1" w:themeTint="F2"/>
                      <w:sz w:val="21"/>
                      <w:szCs w:val="21"/>
                      <w:lang w:val="en-GB" w:eastAsia="zh-CN"/>
                      <w14:textFill>
                        <w14:solidFill>
                          <w14:schemeClr w14:val="tx1">
                            <w14:lumMod w14:val="95000"/>
                            <w14:lumOff w14:val="5000"/>
                          </w14:schemeClr>
                        </w14:solidFill>
                      </w14:textFill>
                    </w:rPr>
                  </w:pPr>
                  <w:r>
                    <w:rPr>
                      <w:rFonts w:hint="eastAsia"/>
                      <w:color w:val="0D0D0D" w:themeColor="text1" w:themeTint="F2"/>
                      <w:sz w:val="21"/>
                      <w:szCs w:val="21"/>
                      <w:lang w:val="en-GB" w:eastAsia="zh-CN"/>
                      <w14:textFill>
                        <w14:solidFill>
                          <w14:schemeClr w14:val="tx1">
                            <w14:lumMod w14:val="95000"/>
                            <w14:lumOff w14:val="5000"/>
                          </w14:schemeClr>
                        </w14:solidFill>
                      </w14:textFill>
                    </w:rPr>
                    <w:t>暂存场所</w:t>
                  </w:r>
                </w:p>
              </w:tc>
              <w:tc>
                <w:tcPr>
                  <w:tcW w:w="686" w:type="dxa"/>
                  <w:vAlign w:val="center"/>
                </w:tcPr>
                <w:p>
                  <w:pPr>
                    <w:adjustRightInd w:val="0"/>
                    <w:snapToGrid w:val="0"/>
                    <w:spacing w:line="240" w:lineRule="auto"/>
                    <w:ind w:firstLine="0" w:firstLineChars="0"/>
                    <w:jc w:val="center"/>
                    <w:rPr>
                      <w:rFonts w:hint="eastAsia"/>
                      <w:color w:val="0D0D0D" w:themeColor="text1" w:themeTint="F2"/>
                      <w:sz w:val="21"/>
                      <w:szCs w:val="21"/>
                      <w:lang w:val="en-GB" w:eastAsia="zh-CN"/>
                      <w14:textFill>
                        <w14:solidFill>
                          <w14:schemeClr w14:val="tx1">
                            <w14:lumMod w14:val="95000"/>
                            <w14:lumOff w14:val="5000"/>
                          </w14:schemeClr>
                        </w14:solidFill>
                      </w14:textFill>
                    </w:rPr>
                  </w:pPr>
                  <w:r>
                    <w:rPr>
                      <w:rFonts w:hint="eastAsia"/>
                      <w:color w:val="0D0D0D" w:themeColor="text1" w:themeTint="F2"/>
                      <w:sz w:val="21"/>
                      <w:szCs w:val="21"/>
                      <w:lang w:val="en-GB" w:eastAsia="zh-CN"/>
                      <w14:textFill>
                        <w14:solidFill>
                          <w14:schemeClr w14:val="tx1">
                            <w14:lumMod w14:val="95000"/>
                            <w14:lumOff w14:val="5000"/>
                          </w14:schemeClr>
                        </w14:solidFill>
                      </w14:textFill>
                    </w:rPr>
                    <w:t>标志标牌</w:t>
                  </w:r>
                </w:p>
              </w:tc>
              <w:tc>
                <w:tcPr>
                  <w:tcW w:w="774" w:type="dxa"/>
                  <w:vAlign w:val="center"/>
                </w:tcPr>
                <w:p>
                  <w:pPr>
                    <w:adjustRightInd w:val="0"/>
                    <w:snapToGrid w:val="0"/>
                    <w:spacing w:line="240" w:lineRule="auto"/>
                    <w:ind w:firstLine="0" w:firstLineChars="0"/>
                    <w:jc w:val="center"/>
                    <w:rPr>
                      <w:rFonts w:hint="eastAsia"/>
                      <w:color w:val="0D0D0D" w:themeColor="text1" w:themeTint="F2"/>
                      <w:sz w:val="21"/>
                      <w:szCs w:val="21"/>
                      <w:lang w:val="en-GB" w:eastAsia="zh-CN"/>
                      <w14:textFill>
                        <w14:solidFill>
                          <w14:schemeClr w14:val="tx1">
                            <w14:lumMod w14:val="95000"/>
                            <w14:lumOff w14:val="5000"/>
                          </w14:schemeClr>
                        </w14:solidFill>
                      </w14:textFill>
                    </w:rPr>
                  </w:pPr>
                  <w:r>
                    <w:rPr>
                      <w:rFonts w:hint="eastAsia"/>
                      <w:color w:val="0D0D0D" w:themeColor="text1" w:themeTint="F2"/>
                      <w:sz w:val="21"/>
                      <w:szCs w:val="21"/>
                      <w:lang w:val="en-GB" w:eastAsia="zh-CN"/>
                      <w14:textFill>
                        <w14:solidFill>
                          <w14:schemeClr w14:val="tx1">
                            <w14:lumMod w14:val="95000"/>
                            <w14:lumOff w14:val="5000"/>
                          </w14:schemeClr>
                        </w14:solidFill>
                      </w14:textFill>
                    </w:rPr>
                    <w:t>台账</w:t>
                  </w:r>
                </w:p>
              </w:tc>
              <w:tc>
                <w:tcPr>
                  <w:tcW w:w="842" w:type="dxa"/>
                  <w:vAlign w:val="center"/>
                </w:tcPr>
                <w:p>
                  <w:pPr>
                    <w:adjustRightInd w:val="0"/>
                    <w:snapToGrid w:val="0"/>
                    <w:spacing w:line="240" w:lineRule="auto"/>
                    <w:ind w:firstLine="0" w:firstLineChars="0"/>
                    <w:jc w:val="center"/>
                    <w:rPr>
                      <w:rFonts w:hint="eastAsia"/>
                      <w:color w:val="0D0D0D" w:themeColor="text1" w:themeTint="F2"/>
                      <w:sz w:val="21"/>
                      <w:szCs w:val="21"/>
                      <w:lang w:val="en-GB" w:eastAsia="zh-CN"/>
                      <w14:textFill>
                        <w14:solidFill>
                          <w14:schemeClr w14:val="tx1">
                            <w14:lumMod w14:val="95000"/>
                            <w14:lumOff w14:val="5000"/>
                          </w14:schemeClr>
                        </w14:solidFill>
                      </w14:textFill>
                    </w:rPr>
                  </w:pPr>
                  <w:r>
                    <w:rPr>
                      <w:rFonts w:hint="eastAsia"/>
                      <w:color w:val="0D0D0D" w:themeColor="text1" w:themeTint="F2"/>
                      <w:sz w:val="21"/>
                      <w:szCs w:val="21"/>
                      <w:lang w:val="en-GB" w:eastAsia="zh-CN"/>
                      <w14:textFill>
                        <w14:solidFill>
                          <w14:schemeClr w14:val="tx1">
                            <w14:lumMod w14:val="95000"/>
                            <w14:lumOff w14:val="5000"/>
                          </w14:schemeClr>
                        </w14:solidFill>
                      </w14:textFill>
                    </w:rPr>
                    <w:t>协议签订情况</w:t>
                  </w:r>
                </w:p>
              </w:tc>
              <w:tc>
                <w:tcPr>
                  <w:tcW w:w="813" w:type="dxa"/>
                  <w:vAlign w:val="center"/>
                </w:tcPr>
                <w:p>
                  <w:pPr>
                    <w:adjustRightInd w:val="0"/>
                    <w:snapToGrid w:val="0"/>
                    <w:spacing w:line="240" w:lineRule="auto"/>
                    <w:ind w:firstLine="0" w:firstLineChars="0"/>
                    <w:jc w:val="center"/>
                    <w:rPr>
                      <w:rFonts w:hint="eastAsia"/>
                      <w:color w:val="0D0D0D" w:themeColor="text1" w:themeTint="F2"/>
                      <w:sz w:val="21"/>
                      <w:szCs w:val="21"/>
                      <w:lang w:val="en-GB" w:eastAsia="zh-CN"/>
                      <w14:textFill>
                        <w14:solidFill>
                          <w14:schemeClr w14:val="tx1">
                            <w14:lumMod w14:val="95000"/>
                            <w14:lumOff w14:val="5000"/>
                          </w14:schemeClr>
                        </w14:solidFill>
                      </w14:textFill>
                    </w:rPr>
                  </w:pPr>
                  <w:r>
                    <w:rPr>
                      <w:rFonts w:hint="eastAsia"/>
                      <w:color w:val="0D0D0D" w:themeColor="text1" w:themeTint="F2"/>
                      <w:sz w:val="21"/>
                      <w:szCs w:val="21"/>
                      <w:lang w:val="en-GB" w:eastAsia="zh-CN"/>
                      <w14:textFill>
                        <w14:solidFill>
                          <w14:schemeClr w14:val="tx1">
                            <w14:lumMod w14:val="95000"/>
                            <w14:lumOff w14:val="5000"/>
                          </w14:schemeClr>
                        </w14:solidFill>
                      </w14:textFill>
                    </w:rPr>
                    <w:t>出入库情况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2" w:type="dxa"/>
                  <w:vAlign w:val="center"/>
                </w:tcPr>
                <w:p>
                  <w:pPr>
                    <w:widowControl/>
                    <w:adjustRightInd w:val="0"/>
                    <w:snapToGrid w:val="0"/>
                    <w:jc w:val="center"/>
                    <w:rPr>
                      <w:color w:val="0D0D0D" w:themeColor="text1" w:themeTint="F2"/>
                      <w:sz w:val="21"/>
                      <w:szCs w:val="21"/>
                      <w:lang w:val="en-GB"/>
                      <w14:textFill>
                        <w14:solidFill>
                          <w14:schemeClr w14:val="tx1">
                            <w14:lumMod w14:val="95000"/>
                            <w14:lumOff w14:val="5000"/>
                          </w14:schemeClr>
                        </w14:solidFill>
                      </w14:textFill>
                    </w:rPr>
                  </w:pPr>
                  <w:r>
                    <w:rPr>
                      <w:rFonts w:hint="eastAsia"/>
                      <w:szCs w:val="21"/>
                    </w:rPr>
                    <w:t>木质边角料</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eastAsiaTheme="minorEastAsia"/>
                      <w:color w:val="0D0D0D" w:themeColor="text1" w:themeTint="F2"/>
                      <w:sz w:val="21"/>
                      <w:szCs w:val="21"/>
                      <w:lang w:val="en-GB" w:eastAsia="zh-CN"/>
                      <w14:textFill>
                        <w14:solidFill>
                          <w14:schemeClr w14:val="tx1">
                            <w14:lumMod w14:val="95000"/>
                            <w14:lumOff w14:val="5000"/>
                          </w14:schemeClr>
                        </w14:solidFill>
                      </w14:textFill>
                    </w:rPr>
                  </w:pPr>
                  <w:r>
                    <w:rPr>
                      <w:rFonts w:hint="eastAsia" w:ascii="Times New Roman" w:hAnsi="Times New Roman" w:cs="Times New Roman"/>
                      <w:b w:val="0"/>
                      <w:bCs/>
                      <w:sz w:val="21"/>
                      <w:lang w:eastAsia="zh-CN"/>
                    </w:rPr>
                    <w:t>木工工段</w:t>
                  </w:r>
                </w:p>
              </w:tc>
              <w:tc>
                <w:tcPr>
                  <w:tcW w:w="705" w:type="dxa"/>
                  <w:vMerge w:val="restart"/>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color w:val="0D0D0D" w:themeColor="text1" w:themeTint="F2"/>
                      <w:sz w:val="21"/>
                      <w:szCs w:val="21"/>
                      <w14:textFill>
                        <w14:solidFill>
                          <w14:schemeClr w14:val="tx1">
                            <w14:lumMod w14:val="95000"/>
                            <w14:lumOff w14:val="5000"/>
                          </w14:schemeClr>
                        </w14:solidFill>
                      </w14:textFill>
                    </w:rPr>
                  </w:pPr>
                  <w:r>
                    <w:rPr>
                      <w:color w:val="0D0D0D" w:themeColor="text1" w:themeTint="F2"/>
                      <w:sz w:val="21"/>
                      <w:szCs w:val="21"/>
                      <w14:textFill>
                        <w14:solidFill>
                          <w14:schemeClr w14:val="tx1">
                            <w14:lumMod w14:val="95000"/>
                            <w14:lumOff w14:val="5000"/>
                          </w14:schemeClr>
                        </w14:solidFill>
                      </w14:textFill>
                    </w:rPr>
                    <w:t>一般工业固废</w:t>
                  </w:r>
                </w:p>
              </w:tc>
              <w:tc>
                <w:tcPr>
                  <w:tcW w:w="997" w:type="dxa"/>
                  <w:vAlign w:val="center"/>
                </w:tcPr>
                <w:p>
                  <w:pPr>
                    <w:widowControl/>
                    <w:adjustRightInd w:val="0"/>
                    <w:snapToGrid w:val="0"/>
                    <w:jc w:val="center"/>
                    <w:rPr>
                      <w:b/>
                      <w:bCs/>
                      <w:color w:val="0D0D0D" w:themeColor="text1" w:themeTint="F2"/>
                      <w:sz w:val="21"/>
                      <w:szCs w:val="21"/>
                      <w14:textFill>
                        <w14:solidFill>
                          <w14:schemeClr w14:val="tx1">
                            <w14:lumMod w14:val="95000"/>
                            <w14:lumOff w14:val="5000"/>
                          </w14:schemeClr>
                        </w14:solidFill>
                      </w14:textFill>
                    </w:rPr>
                  </w:pPr>
                  <w:r>
                    <w:rPr>
                      <w:rFonts w:hint="eastAsia"/>
                      <w:kern w:val="0"/>
                      <w:szCs w:val="21"/>
                    </w:rPr>
                    <w:t>20</w:t>
                  </w:r>
                  <w:r>
                    <w:rPr>
                      <w:kern w:val="0"/>
                      <w:szCs w:val="21"/>
                    </w:rPr>
                    <w:t>t/a</w:t>
                  </w:r>
                </w:p>
              </w:tc>
              <w:tc>
                <w:tcPr>
                  <w:tcW w:w="996" w:type="dxa"/>
                  <w:vAlign w:val="center"/>
                </w:tcPr>
                <w:p>
                  <w:pPr>
                    <w:widowControl/>
                    <w:adjustRightInd w:val="0"/>
                    <w:snapToGrid w:val="0"/>
                    <w:jc w:val="center"/>
                    <w:rPr>
                      <w:rFonts w:hint="eastAsia"/>
                      <w:b/>
                      <w:bCs/>
                      <w:color w:val="0D0D0D" w:themeColor="text1" w:themeTint="F2"/>
                      <w:sz w:val="21"/>
                      <w:szCs w:val="21"/>
                      <w:lang w:val="en-US" w:eastAsia="zh-CN"/>
                      <w14:textFill>
                        <w14:solidFill>
                          <w14:schemeClr w14:val="tx1">
                            <w14:lumMod w14:val="95000"/>
                            <w14:lumOff w14:val="5000"/>
                          </w14:schemeClr>
                        </w14:solidFill>
                      </w14:textFill>
                    </w:rPr>
                  </w:pPr>
                  <w:r>
                    <w:rPr>
                      <w:rFonts w:hint="eastAsia"/>
                      <w:kern w:val="0"/>
                      <w:szCs w:val="21"/>
                    </w:rPr>
                    <w:t>20</w:t>
                  </w:r>
                  <w:r>
                    <w:rPr>
                      <w:kern w:val="0"/>
                      <w:szCs w:val="21"/>
                    </w:rPr>
                    <w:t>t/a</w:t>
                  </w:r>
                </w:p>
              </w:tc>
              <w:tc>
                <w:tcPr>
                  <w:tcW w:w="966" w:type="dxa"/>
                  <w:vMerge w:val="restart"/>
                  <w:vAlign w:val="center"/>
                </w:tcPr>
                <w:p>
                  <w:pPr>
                    <w:adjustRightInd w:val="0"/>
                    <w:snapToGrid w:val="0"/>
                    <w:spacing w:line="240" w:lineRule="auto"/>
                    <w:ind w:firstLine="0" w:firstLineChars="0"/>
                    <w:jc w:val="center"/>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收集后外售</w:t>
                  </w:r>
                </w:p>
              </w:tc>
              <w:tc>
                <w:tcPr>
                  <w:tcW w:w="1151" w:type="dxa"/>
                  <w:vMerge w:val="restart"/>
                  <w:vAlign w:val="center"/>
                </w:tcPr>
                <w:p>
                  <w:pPr>
                    <w:adjustRightInd w:val="0"/>
                    <w:snapToGrid w:val="0"/>
                    <w:spacing w:line="240" w:lineRule="auto"/>
                    <w:ind w:firstLine="0" w:firstLineChars="0"/>
                    <w:jc w:val="center"/>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一般工业固废暂存区</w:t>
                  </w:r>
                </w:p>
              </w:tc>
              <w:tc>
                <w:tcPr>
                  <w:tcW w:w="686" w:type="dxa"/>
                  <w:vMerge w:val="restart"/>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c>
                <w:tcPr>
                  <w:tcW w:w="774" w:type="dxa"/>
                  <w:vMerge w:val="restart"/>
                  <w:vAlign w:val="center"/>
                </w:tcPr>
                <w:p>
                  <w:pPr>
                    <w:adjustRightInd w:val="0"/>
                    <w:snapToGrid w:val="0"/>
                    <w:spacing w:line="240" w:lineRule="auto"/>
                    <w:ind w:firstLine="0" w:firstLineChars="0"/>
                    <w:jc w:val="center"/>
                    <w:rPr>
                      <w:rFonts w:hint="default"/>
                      <w:color w:val="0D0D0D" w:themeColor="text1" w:themeTint="F2"/>
                      <w:sz w:val="21"/>
                      <w:szCs w:val="21"/>
                      <w:lang w:val="en-US" w:eastAsia="zh-CN"/>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c>
                <w:tcPr>
                  <w:tcW w:w="842" w:type="dxa"/>
                  <w:vMerge w:val="restart"/>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c>
                <w:tcPr>
                  <w:tcW w:w="813" w:type="dxa"/>
                  <w:vMerge w:val="restart"/>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2" w:type="dxa"/>
                  <w:vAlign w:val="center"/>
                </w:tcPr>
                <w:p>
                  <w:pPr>
                    <w:widowControl/>
                    <w:adjustRightInd w:val="0"/>
                    <w:snapToGrid w:val="0"/>
                    <w:jc w:val="center"/>
                    <w:rPr>
                      <w:rFonts w:hint="eastAsia" w:ascii="Times New Roman" w:hAnsi="Times New Roman" w:cs="Times New Roman"/>
                      <w:b w:val="0"/>
                      <w:bCs/>
                      <w:sz w:val="21"/>
                      <w:lang w:eastAsia="zh-CN"/>
                    </w:rPr>
                  </w:pPr>
                  <w:r>
                    <w:rPr>
                      <w:rFonts w:hint="eastAsia"/>
                      <w:szCs w:val="21"/>
                    </w:rPr>
                    <w:t>废包装材料</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ascii="Times New Roman" w:hAnsi="Times New Roman" w:cs="Times New Roman"/>
                      <w:b w:val="0"/>
                      <w:bCs/>
                      <w:sz w:val="21"/>
                      <w:lang w:eastAsia="zh-CN"/>
                    </w:rPr>
                  </w:pPr>
                  <w:r>
                    <w:rPr>
                      <w:rFonts w:hint="eastAsia" w:ascii="Times New Roman" w:hAnsi="Times New Roman" w:cs="Times New Roman"/>
                      <w:b w:val="0"/>
                      <w:bCs/>
                      <w:sz w:val="21"/>
                      <w:lang w:eastAsia="zh-CN"/>
                    </w:rPr>
                    <w:t>包装工段</w:t>
                  </w:r>
                </w:p>
              </w:tc>
              <w:tc>
                <w:tcPr>
                  <w:tcW w:w="705" w:type="dxa"/>
                  <w:vMerge w:val="continue"/>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color w:val="0D0D0D" w:themeColor="text1" w:themeTint="F2"/>
                      <w:sz w:val="21"/>
                      <w:szCs w:val="21"/>
                      <w14:textFill>
                        <w14:solidFill>
                          <w14:schemeClr w14:val="tx1">
                            <w14:lumMod w14:val="95000"/>
                            <w14:lumOff w14:val="5000"/>
                          </w14:schemeClr>
                        </w14:solidFill>
                      </w14:textFill>
                    </w:rPr>
                  </w:pPr>
                </w:p>
              </w:tc>
              <w:tc>
                <w:tcPr>
                  <w:tcW w:w="997" w:type="dxa"/>
                  <w:vAlign w:val="center"/>
                </w:tcPr>
                <w:p>
                  <w:pPr>
                    <w:widowControl/>
                    <w:adjustRightInd w:val="0"/>
                    <w:snapToGrid w:val="0"/>
                    <w:jc w:val="center"/>
                    <w:rPr>
                      <w:rFonts w:hint="eastAsia"/>
                      <w:b/>
                      <w:bCs/>
                      <w:color w:val="0D0D0D" w:themeColor="text1" w:themeTint="F2"/>
                      <w:sz w:val="21"/>
                      <w:szCs w:val="21"/>
                      <w:lang w:val="en-US" w:eastAsia="zh-CN"/>
                      <w14:textFill>
                        <w14:solidFill>
                          <w14:schemeClr w14:val="tx1">
                            <w14:lumMod w14:val="95000"/>
                            <w14:lumOff w14:val="5000"/>
                          </w14:schemeClr>
                        </w14:solidFill>
                      </w14:textFill>
                    </w:rPr>
                  </w:pPr>
                  <w:r>
                    <w:rPr>
                      <w:rFonts w:hint="eastAsia"/>
                      <w:kern w:val="0"/>
                      <w:szCs w:val="21"/>
                    </w:rPr>
                    <w:t>0.5</w:t>
                  </w:r>
                  <w:r>
                    <w:rPr>
                      <w:color w:val="000000"/>
                      <w:szCs w:val="21"/>
                    </w:rPr>
                    <w:t>t/a</w:t>
                  </w:r>
                </w:p>
              </w:tc>
              <w:tc>
                <w:tcPr>
                  <w:tcW w:w="996" w:type="dxa"/>
                  <w:vAlign w:val="center"/>
                </w:tcPr>
                <w:p>
                  <w:pPr>
                    <w:widowControl/>
                    <w:adjustRightInd w:val="0"/>
                    <w:snapToGrid w:val="0"/>
                    <w:jc w:val="center"/>
                    <w:rPr>
                      <w:rFonts w:hint="eastAsia"/>
                      <w:b/>
                      <w:bCs/>
                      <w:color w:val="0D0D0D" w:themeColor="text1" w:themeTint="F2"/>
                      <w:sz w:val="21"/>
                      <w:szCs w:val="21"/>
                      <w:lang w:val="en-US" w:eastAsia="zh-CN"/>
                      <w14:textFill>
                        <w14:solidFill>
                          <w14:schemeClr w14:val="tx1">
                            <w14:lumMod w14:val="95000"/>
                            <w14:lumOff w14:val="5000"/>
                          </w14:schemeClr>
                        </w14:solidFill>
                      </w14:textFill>
                    </w:rPr>
                  </w:pPr>
                  <w:r>
                    <w:rPr>
                      <w:rFonts w:hint="eastAsia"/>
                      <w:kern w:val="0"/>
                      <w:szCs w:val="21"/>
                    </w:rPr>
                    <w:t>0.5</w:t>
                  </w:r>
                  <w:r>
                    <w:rPr>
                      <w:color w:val="000000"/>
                      <w:szCs w:val="21"/>
                    </w:rPr>
                    <w:t>t/a</w:t>
                  </w:r>
                </w:p>
              </w:tc>
              <w:tc>
                <w:tcPr>
                  <w:tcW w:w="966"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p>
              </w:tc>
              <w:tc>
                <w:tcPr>
                  <w:tcW w:w="686"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c>
                <w:tcPr>
                  <w:tcW w:w="774"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c>
                <w:tcPr>
                  <w:tcW w:w="842"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c>
                <w:tcPr>
                  <w:tcW w:w="813"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2" w:type="dxa"/>
                  <w:vAlign w:val="center"/>
                </w:tcPr>
                <w:p>
                  <w:pPr>
                    <w:widowControl/>
                    <w:adjustRightInd w:val="0"/>
                    <w:snapToGrid w:val="0"/>
                    <w:jc w:val="center"/>
                    <w:rPr>
                      <w:rFonts w:hint="eastAsia" w:ascii="Times New Roman" w:hAnsi="Times New Roman" w:cs="Times New Roman"/>
                      <w:b w:val="0"/>
                      <w:bCs/>
                      <w:sz w:val="21"/>
                      <w:lang w:eastAsia="zh-CN"/>
                    </w:rPr>
                  </w:pPr>
                  <w:r>
                    <w:rPr>
                      <w:rFonts w:hint="eastAsia"/>
                      <w:szCs w:val="21"/>
                    </w:rPr>
                    <w:t>木屑及粉尘</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ascii="Times New Roman" w:hAnsi="Times New Roman" w:cs="Times New Roman"/>
                      <w:b w:val="0"/>
                      <w:bCs/>
                      <w:sz w:val="21"/>
                      <w:lang w:eastAsia="zh-CN"/>
                    </w:rPr>
                  </w:pPr>
                  <w:r>
                    <w:rPr>
                      <w:rFonts w:hint="eastAsia" w:ascii="Times New Roman" w:hAnsi="Times New Roman" w:cs="Times New Roman"/>
                      <w:b w:val="0"/>
                      <w:bCs/>
                      <w:sz w:val="21"/>
                      <w:lang w:eastAsia="zh-CN"/>
                    </w:rPr>
                    <w:t>木工工段</w:t>
                  </w:r>
                </w:p>
              </w:tc>
              <w:tc>
                <w:tcPr>
                  <w:tcW w:w="705" w:type="dxa"/>
                  <w:vMerge w:val="continue"/>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color w:val="0D0D0D" w:themeColor="text1" w:themeTint="F2"/>
                      <w:sz w:val="21"/>
                      <w:szCs w:val="21"/>
                      <w14:textFill>
                        <w14:solidFill>
                          <w14:schemeClr w14:val="tx1">
                            <w14:lumMod w14:val="95000"/>
                            <w14:lumOff w14:val="5000"/>
                          </w14:schemeClr>
                        </w14:solidFill>
                      </w14:textFill>
                    </w:rPr>
                  </w:pPr>
                </w:p>
              </w:tc>
              <w:tc>
                <w:tcPr>
                  <w:tcW w:w="997" w:type="dxa"/>
                  <w:vAlign w:val="center"/>
                </w:tcPr>
                <w:p>
                  <w:pPr>
                    <w:widowControl/>
                    <w:adjustRightInd w:val="0"/>
                    <w:snapToGrid w:val="0"/>
                    <w:jc w:val="center"/>
                    <w:rPr>
                      <w:rFonts w:hint="eastAsia"/>
                      <w:b/>
                      <w:bCs/>
                      <w:color w:val="0D0D0D" w:themeColor="text1" w:themeTint="F2"/>
                      <w:sz w:val="21"/>
                      <w:szCs w:val="21"/>
                      <w:lang w:val="en-US" w:eastAsia="zh-CN"/>
                      <w14:textFill>
                        <w14:solidFill>
                          <w14:schemeClr w14:val="tx1">
                            <w14:lumMod w14:val="95000"/>
                            <w14:lumOff w14:val="5000"/>
                          </w14:schemeClr>
                        </w14:solidFill>
                      </w14:textFill>
                    </w:rPr>
                  </w:pPr>
                  <w:r>
                    <w:rPr>
                      <w:rFonts w:hint="eastAsia"/>
                      <w:color w:val="000000"/>
                      <w:szCs w:val="21"/>
                    </w:rPr>
                    <w:t>11.674</w:t>
                  </w:r>
                  <w:r>
                    <w:rPr>
                      <w:color w:val="000000"/>
                      <w:szCs w:val="21"/>
                    </w:rPr>
                    <w:t>t/a</w:t>
                  </w:r>
                </w:p>
              </w:tc>
              <w:tc>
                <w:tcPr>
                  <w:tcW w:w="996" w:type="dxa"/>
                  <w:vAlign w:val="center"/>
                </w:tcPr>
                <w:p>
                  <w:pPr>
                    <w:widowControl/>
                    <w:adjustRightInd w:val="0"/>
                    <w:snapToGrid w:val="0"/>
                    <w:jc w:val="center"/>
                    <w:rPr>
                      <w:rFonts w:hint="eastAsia"/>
                      <w:b/>
                      <w:bCs/>
                      <w:color w:val="0D0D0D" w:themeColor="text1" w:themeTint="F2"/>
                      <w:sz w:val="21"/>
                      <w:szCs w:val="21"/>
                      <w:lang w:val="en-US" w:eastAsia="zh-CN"/>
                      <w14:textFill>
                        <w14:solidFill>
                          <w14:schemeClr w14:val="tx1">
                            <w14:lumMod w14:val="95000"/>
                            <w14:lumOff w14:val="5000"/>
                          </w14:schemeClr>
                        </w14:solidFill>
                      </w14:textFill>
                    </w:rPr>
                  </w:pPr>
                  <w:r>
                    <w:rPr>
                      <w:rFonts w:hint="eastAsia"/>
                      <w:color w:val="000000"/>
                      <w:szCs w:val="21"/>
                    </w:rPr>
                    <w:t>11.674</w:t>
                  </w:r>
                  <w:r>
                    <w:rPr>
                      <w:color w:val="000000"/>
                      <w:szCs w:val="21"/>
                    </w:rPr>
                    <w:t>t/a</w:t>
                  </w:r>
                </w:p>
              </w:tc>
              <w:tc>
                <w:tcPr>
                  <w:tcW w:w="966"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p>
              </w:tc>
              <w:tc>
                <w:tcPr>
                  <w:tcW w:w="686"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c>
                <w:tcPr>
                  <w:tcW w:w="774"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c>
                <w:tcPr>
                  <w:tcW w:w="842"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c>
                <w:tcPr>
                  <w:tcW w:w="813"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val="en-US" w:eastAsia="zh-CN"/>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widowControl/>
                    <w:adjustRightInd w:val="0"/>
                    <w:snapToGrid w:val="0"/>
                    <w:jc w:val="center"/>
                    <w:rPr>
                      <w:color w:val="0D0D0D" w:themeColor="text1" w:themeTint="F2"/>
                      <w:sz w:val="21"/>
                      <w:szCs w:val="21"/>
                      <w14:textFill>
                        <w14:solidFill>
                          <w14:schemeClr w14:val="tx1">
                            <w14:lumMod w14:val="95000"/>
                            <w14:lumOff w14:val="5000"/>
                          </w14:schemeClr>
                        </w14:solidFill>
                      </w14:textFill>
                    </w:rPr>
                  </w:pPr>
                  <w:r>
                    <w:rPr>
                      <w:rFonts w:hint="eastAsia"/>
                      <w:szCs w:val="21"/>
                    </w:rPr>
                    <w:t>废胶桶</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sz w:val="21"/>
                      <w:lang w:eastAsia="zh-CN"/>
                    </w:rPr>
                    <w:t>用胶工段</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eastAsiaTheme="minorEastAsia"/>
                      <w:color w:val="0D0D0D" w:themeColor="text1" w:themeTint="F2"/>
                      <w:kern w:val="0"/>
                      <w:sz w:val="21"/>
                      <w:szCs w:val="21"/>
                      <w:lang w:eastAsia="zh-CN"/>
                      <w14:textFill>
                        <w14:solidFill>
                          <w14:schemeClr w14:val="tx1">
                            <w14:lumMod w14:val="95000"/>
                            <w14:lumOff w14:val="5000"/>
                          </w14:schemeClr>
                        </w14:solidFill>
                      </w14:textFill>
                    </w:rPr>
                  </w:pPr>
                  <w:r>
                    <w:rPr>
                      <w:rFonts w:hint="eastAsia"/>
                      <w:sz w:val="21"/>
                      <w:szCs w:val="21"/>
                      <w:lang w:eastAsia="zh-CN"/>
                    </w:rPr>
                    <w:t>危险废物</w:t>
                  </w:r>
                </w:p>
              </w:tc>
              <w:tc>
                <w:tcPr>
                  <w:tcW w:w="997" w:type="dxa"/>
                  <w:vAlign w:val="center"/>
                </w:tcPr>
                <w:p>
                  <w:pPr>
                    <w:widowControl/>
                    <w:adjustRightInd w:val="0"/>
                    <w:snapToGrid w:val="0"/>
                    <w:jc w:val="center"/>
                    <w:rPr>
                      <w:color w:val="0D0D0D" w:themeColor="text1" w:themeTint="F2"/>
                      <w:kern w:val="0"/>
                      <w:sz w:val="21"/>
                      <w:szCs w:val="21"/>
                      <w14:textFill>
                        <w14:solidFill>
                          <w14:schemeClr w14:val="tx1">
                            <w14:lumMod w14:val="95000"/>
                            <w14:lumOff w14:val="5000"/>
                          </w14:schemeClr>
                        </w14:solidFill>
                      </w14:textFill>
                    </w:rPr>
                  </w:pPr>
                  <w:r>
                    <w:rPr>
                      <w:rFonts w:hint="eastAsia"/>
                      <w:kern w:val="0"/>
                      <w:szCs w:val="21"/>
                    </w:rPr>
                    <w:t>0.1</w:t>
                  </w:r>
                  <w:r>
                    <w:rPr>
                      <w:color w:val="000000"/>
                      <w:szCs w:val="21"/>
                    </w:rPr>
                    <w:t>t/a</w:t>
                  </w:r>
                </w:p>
              </w:tc>
              <w:tc>
                <w:tcPr>
                  <w:tcW w:w="996" w:type="dxa"/>
                  <w:vAlign w:val="center"/>
                </w:tcPr>
                <w:p>
                  <w:pPr>
                    <w:widowControl/>
                    <w:adjustRightInd w:val="0"/>
                    <w:snapToGrid w:val="0"/>
                    <w:jc w:val="center"/>
                    <w:rPr>
                      <w:rFonts w:hint="eastAsia"/>
                      <w:color w:val="0D0D0D" w:themeColor="text1" w:themeTint="F2"/>
                      <w:kern w:val="0"/>
                      <w:sz w:val="21"/>
                      <w:szCs w:val="21"/>
                      <w14:textFill>
                        <w14:solidFill>
                          <w14:schemeClr w14:val="tx1">
                            <w14:lumMod w14:val="95000"/>
                            <w14:lumOff w14:val="5000"/>
                          </w14:schemeClr>
                        </w14:solidFill>
                      </w14:textFill>
                    </w:rPr>
                  </w:pPr>
                  <w:r>
                    <w:rPr>
                      <w:rFonts w:hint="eastAsia"/>
                      <w:kern w:val="0"/>
                      <w:szCs w:val="21"/>
                    </w:rPr>
                    <w:t>0.1</w:t>
                  </w:r>
                  <w:r>
                    <w:rPr>
                      <w:color w:val="000000"/>
                      <w:szCs w:val="21"/>
                    </w:rPr>
                    <w:t>t/a</w:t>
                  </w:r>
                </w:p>
              </w:tc>
              <w:tc>
                <w:tcPr>
                  <w:tcW w:w="966" w:type="dxa"/>
                  <w:vMerge w:val="restart"/>
                  <w:vAlign w:val="center"/>
                </w:tcPr>
                <w:p>
                  <w:pPr>
                    <w:adjustRightInd w:val="0"/>
                    <w:snapToGrid w:val="0"/>
                    <w:spacing w:line="240" w:lineRule="auto"/>
                    <w:ind w:firstLine="0" w:firstLineChars="0"/>
                    <w:jc w:val="center"/>
                  </w:pPr>
                  <w:r>
                    <w:rPr>
                      <w:rFonts w:hint="eastAsia"/>
                      <w:color w:val="0D0D0D" w:themeColor="text1" w:themeTint="F2"/>
                      <w:sz w:val="21"/>
                      <w:szCs w:val="21"/>
                      <w:lang w:eastAsia="zh-CN"/>
                      <w14:textFill>
                        <w14:solidFill>
                          <w14:schemeClr w14:val="tx1">
                            <w14:lumMod w14:val="95000"/>
                            <w14:lumOff w14:val="5000"/>
                          </w14:schemeClr>
                        </w14:solidFill>
                      </w14:textFill>
                    </w:rPr>
                    <w:t>委托处置</w:t>
                  </w:r>
                </w:p>
              </w:tc>
              <w:tc>
                <w:tcPr>
                  <w:tcW w:w="1151" w:type="dxa"/>
                  <w:vMerge w:val="restart"/>
                  <w:vAlign w:val="center"/>
                </w:tcPr>
                <w:p>
                  <w:pPr>
                    <w:adjustRightInd w:val="0"/>
                    <w:snapToGrid w:val="0"/>
                    <w:spacing w:line="240" w:lineRule="auto"/>
                    <w:ind w:firstLine="0" w:firstLineChars="0"/>
                    <w:jc w:val="center"/>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危废暂存间（</w:t>
                  </w:r>
                  <w:r>
                    <w:rPr>
                      <w:rFonts w:hint="eastAsia"/>
                      <w:color w:val="0D0D0D" w:themeColor="text1" w:themeTint="F2"/>
                      <w:sz w:val="21"/>
                      <w:szCs w:val="21"/>
                      <w:lang w:val="en-US" w:eastAsia="zh-CN"/>
                      <w14:textFill>
                        <w14:solidFill>
                          <w14:schemeClr w14:val="tx1">
                            <w14:lumMod w14:val="95000"/>
                            <w14:lumOff w14:val="5000"/>
                          </w14:schemeClr>
                        </w14:solidFill>
                      </w14:textFill>
                    </w:rPr>
                    <w:t>10m</w:t>
                  </w:r>
                  <w:r>
                    <w:rPr>
                      <w:rFonts w:hint="eastAsia"/>
                      <w:color w:val="0D0D0D" w:themeColor="text1" w:themeTint="F2"/>
                      <w:sz w:val="21"/>
                      <w:szCs w:val="21"/>
                      <w:vertAlign w:val="superscript"/>
                      <w:lang w:val="en-US" w:eastAsia="zh-CN"/>
                      <w14:textFill>
                        <w14:solidFill>
                          <w14:schemeClr w14:val="tx1">
                            <w14:lumMod w14:val="95000"/>
                            <w14:lumOff w14:val="5000"/>
                          </w14:schemeClr>
                        </w14:solidFill>
                      </w14:textFill>
                    </w:rPr>
                    <w:t>2</w:t>
                  </w:r>
                  <w:r>
                    <w:rPr>
                      <w:rFonts w:hint="eastAsia"/>
                      <w:color w:val="0D0D0D" w:themeColor="text1" w:themeTint="F2"/>
                      <w:sz w:val="21"/>
                      <w:szCs w:val="21"/>
                      <w:lang w:eastAsia="zh-CN"/>
                      <w14:textFill>
                        <w14:solidFill>
                          <w14:schemeClr w14:val="tx1">
                            <w14:lumMod w14:val="95000"/>
                            <w14:lumOff w14:val="5000"/>
                          </w14:schemeClr>
                        </w14:solidFill>
                      </w14:textFill>
                    </w:rPr>
                    <w:t>）</w:t>
                  </w:r>
                </w:p>
              </w:tc>
              <w:tc>
                <w:tcPr>
                  <w:tcW w:w="686"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774"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842"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已签</w:t>
                  </w:r>
                </w:p>
              </w:tc>
              <w:tc>
                <w:tcPr>
                  <w:tcW w:w="813"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widowControl/>
                    <w:adjustRightInd w:val="0"/>
                    <w:snapToGrid w:val="0"/>
                    <w:jc w:val="center"/>
                    <w:rPr>
                      <w:rFonts w:hint="eastAsia" w:eastAsiaTheme="minorEastAsia"/>
                      <w:sz w:val="21"/>
                      <w:lang w:eastAsia="zh-CN"/>
                    </w:rPr>
                  </w:pPr>
                  <w:r>
                    <w:rPr>
                      <w:rFonts w:hint="eastAsia"/>
                      <w:szCs w:val="21"/>
                    </w:rPr>
                    <w:t>废漆桶</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sz w:val="21"/>
                    </w:rPr>
                  </w:pPr>
                  <w:r>
                    <w:rPr>
                      <w:rFonts w:hint="eastAsia"/>
                      <w:sz w:val="21"/>
                      <w:lang w:eastAsia="zh-CN"/>
                    </w:rPr>
                    <w:t>用胶工段</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sz w:val="21"/>
                      <w:szCs w:val="21"/>
                      <w:lang w:eastAsia="zh-CN"/>
                    </w:rPr>
                  </w:pPr>
                  <w:r>
                    <w:rPr>
                      <w:rFonts w:hint="eastAsia"/>
                      <w:sz w:val="21"/>
                      <w:szCs w:val="21"/>
                      <w:lang w:eastAsia="zh-CN"/>
                    </w:rPr>
                    <w:t>危险废物</w:t>
                  </w:r>
                </w:p>
              </w:tc>
              <w:tc>
                <w:tcPr>
                  <w:tcW w:w="997" w:type="dxa"/>
                  <w:vAlign w:val="center"/>
                </w:tcPr>
                <w:p>
                  <w:pPr>
                    <w:widowControl/>
                    <w:adjustRightInd w:val="0"/>
                    <w:snapToGrid w:val="0"/>
                    <w:jc w:val="center"/>
                    <w:rPr>
                      <w:rFonts w:hint="default"/>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kern w:val="0"/>
                      <w:szCs w:val="21"/>
                    </w:rPr>
                    <w:t>0.15</w:t>
                  </w:r>
                  <w:r>
                    <w:rPr>
                      <w:color w:val="000000"/>
                      <w:szCs w:val="21"/>
                    </w:rPr>
                    <w:t>t/a</w:t>
                  </w:r>
                </w:p>
              </w:tc>
              <w:tc>
                <w:tcPr>
                  <w:tcW w:w="996"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kern w:val="0"/>
                      <w:szCs w:val="21"/>
                    </w:rPr>
                    <w:t>0.15</w:t>
                  </w:r>
                  <w:r>
                    <w:rPr>
                      <w:color w:val="000000"/>
                      <w:szCs w:val="21"/>
                    </w:rPr>
                    <w:t>t/a</w:t>
                  </w:r>
                </w:p>
              </w:tc>
              <w:tc>
                <w:tcPr>
                  <w:tcW w:w="966"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p>
              </w:tc>
              <w:tc>
                <w:tcPr>
                  <w:tcW w:w="686"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774"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842"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已签</w:t>
                  </w:r>
                </w:p>
              </w:tc>
              <w:tc>
                <w:tcPr>
                  <w:tcW w:w="813"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widowControl/>
                    <w:adjustRightInd w:val="0"/>
                    <w:snapToGrid w:val="0"/>
                    <w:jc w:val="center"/>
                    <w:rPr>
                      <w:color w:val="0D0D0D" w:themeColor="text1" w:themeTint="F2"/>
                      <w:sz w:val="21"/>
                      <w:szCs w:val="21"/>
                      <w14:textFill>
                        <w14:solidFill>
                          <w14:schemeClr w14:val="tx1">
                            <w14:lumMod w14:val="95000"/>
                            <w14:lumOff w14:val="5000"/>
                          </w14:schemeClr>
                        </w14:solidFill>
                      </w14:textFill>
                    </w:rPr>
                  </w:pPr>
                  <w:r>
                    <w:rPr>
                      <w:rFonts w:hint="eastAsia"/>
                      <w:szCs w:val="21"/>
                    </w:rPr>
                    <w:t>废活性炭</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用漆工段</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eastAsiaTheme="minorEastAsia"/>
                      <w:color w:val="0D0D0D" w:themeColor="text1" w:themeTint="F2"/>
                      <w:spacing w:val="6"/>
                      <w:sz w:val="21"/>
                      <w:szCs w:val="21"/>
                      <w:lang w:eastAsia="zh-CN"/>
                      <w14:textFill>
                        <w14:solidFill>
                          <w14:schemeClr w14:val="tx1">
                            <w14:lumMod w14:val="95000"/>
                            <w14:lumOff w14:val="5000"/>
                          </w14:schemeClr>
                        </w14:solidFill>
                      </w14:textFill>
                    </w:rPr>
                  </w:pPr>
                  <w:r>
                    <w:rPr>
                      <w:rFonts w:hint="eastAsia"/>
                      <w:sz w:val="21"/>
                      <w:szCs w:val="21"/>
                      <w:lang w:eastAsia="zh-CN"/>
                    </w:rPr>
                    <w:t>危险废物</w:t>
                  </w:r>
                </w:p>
              </w:tc>
              <w:tc>
                <w:tcPr>
                  <w:tcW w:w="997" w:type="dxa"/>
                  <w:vAlign w:val="center"/>
                </w:tcPr>
                <w:p>
                  <w:pPr>
                    <w:widowControl/>
                    <w:adjustRightInd w:val="0"/>
                    <w:snapToGrid w:val="0"/>
                    <w:jc w:val="center"/>
                    <w:rPr>
                      <w:color w:val="0D0D0D" w:themeColor="text1" w:themeTint="F2"/>
                      <w:kern w:val="0"/>
                      <w:sz w:val="21"/>
                      <w:szCs w:val="21"/>
                      <w14:textFill>
                        <w14:solidFill>
                          <w14:schemeClr w14:val="tx1">
                            <w14:lumMod w14:val="95000"/>
                            <w14:lumOff w14:val="5000"/>
                          </w14:schemeClr>
                        </w14:solidFill>
                      </w14:textFill>
                    </w:rPr>
                  </w:pPr>
                  <w:r>
                    <w:rPr>
                      <w:rFonts w:hint="eastAsia"/>
                      <w:color w:val="000000"/>
                      <w:szCs w:val="21"/>
                    </w:rPr>
                    <w:t>7.27</w:t>
                  </w:r>
                  <w:r>
                    <w:rPr>
                      <w:color w:val="000000"/>
                      <w:szCs w:val="21"/>
                    </w:rPr>
                    <w:t>t/a</w:t>
                  </w:r>
                </w:p>
              </w:tc>
              <w:tc>
                <w:tcPr>
                  <w:tcW w:w="996" w:type="dxa"/>
                  <w:vAlign w:val="center"/>
                </w:tcPr>
                <w:p>
                  <w:pPr>
                    <w:widowControl/>
                    <w:adjustRightInd w:val="0"/>
                    <w:snapToGrid w:val="0"/>
                    <w:jc w:val="center"/>
                    <w:rPr>
                      <w:rFonts w:hint="eastAsia"/>
                      <w:color w:val="0D0D0D" w:themeColor="text1" w:themeTint="F2"/>
                      <w:kern w:val="0"/>
                      <w:sz w:val="21"/>
                      <w:szCs w:val="21"/>
                      <w14:textFill>
                        <w14:solidFill>
                          <w14:schemeClr w14:val="tx1">
                            <w14:lumMod w14:val="95000"/>
                            <w14:lumOff w14:val="5000"/>
                          </w14:schemeClr>
                        </w14:solidFill>
                      </w14:textFill>
                    </w:rPr>
                  </w:pPr>
                  <w:r>
                    <w:rPr>
                      <w:rFonts w:hint="eastAsia"/>
                      <w:color w:val="000000"/>
                      <w:szCs w:val="21"/>
                    </w:rPr>
                    <w:t>7.27</w:t>
                  </w:r>
                  <w:r>
                    <w:rPr>
                      <w:color w:val="000000"/>
                      <w:szCs w:val="21"/>
                    </w:rPr>
                    <w:t>t/a</w:t>
                  </w:r>
                </w:p>
              </w:tc>
              <w:tc>
                <w:tcPr>
                  <w:tcW w:w="966"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686"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774"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842"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已签</w:t>
                  </w:r>
                </w:p>
              </w:tc>
              <w:tc>
                <w:tcPr>
                  <w:tcW w:w="813"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widowControl/>
                    <w:adjustRightInd w:val="0"/>
                    <w:snapToGrid w:val="0"/>
                    <w:jc w:val="center"/>
                    <w:rPr>
                      <w:rFonts w:hint="eastAsia" w:ascii="Times New Roman" w:hAnsi="Times New Roman" w:cs="Times New Roman" w:eastAsiaTheme="minorEastAsia"/>
                      <w:b w:val="0"/>
                      <w:bCs/>
                      <w:sz w:val="21"/>
                      <w:lang w:eastAsia="zh-CN"/>
                    </w:rPr>
                  </w:pPr>
                  <w:r>
                    <w:rPr>
                      <w:rFonts w:hint="eastAsia"/>
                      <w:szCs w:val="21"/>
                    </w:rPr>
                    <w:t>废过滤棉</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ascii="Times New Roman" w:hAnsi="Times New Roman" w:cs="Times New Roman" w:eastAsiaTheme="minorEastAsia"/>
                      <w:b w:val="0"/>
                      <w:bCs/>
                      <w:sz w:val="21"/>
                      <w:lang w:eastAsia="zh-CN"/>
                    </w:rPr>
                  </w:pPr>
                  <w:r>
                    <w:rPr>
                      <w:rFonts w:hint="eastAsia"/>
                      <w:color w:val="0D0D0D" w:themeColor="text1" w:themeTint="F2"/>
                      <w:sz w:val="21"/>
                      <w:szCs w:val="21"/>
                      <w:lang w:eastAsia="zh-CN"/>
                      <w14:textFill>
                        <w14:solidFill>
                          <w14:schemeClr w14:val="tx1">
                            <w14:lumMod w14:val="95000"/>
                            <w14:lumOff w14:val="5000"/>
                          </w14:schemeClr>
                        </w14:solidFill>
                      </w14:textFill>
                    </w:rPr>
                    <w:t>用漆工段</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sz w:val="21"/>
                      <w:szCs w:val="21"/>
                      <w:lang w:eastAsia="zh-CN"/>
                    </w:rPr>
                  </w:pPr>
                  <w:r>
                    <w:rPr>
                      <w:rFonts w:hint="eastAsia"/>
                      <w:sz w:val="21"/>
                      <w:szCs w:val="21"/>
                      <w:lang w:eastAsia="zh-CN"/>
                    </w:rPr>
                    <w:t>危险废物</w:t>
                  </w:r>
                </w:p>
              </w:tc>
              <w:tc>
                <w:tcPr>
                  <w:tcW w:w="997"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rPr>
                    <w:t>0.2</w:t>
                  </w:r>
                  <w:r>
                    <w:rPr>
                      <w:color w:val="000000"/>
                      <w:szCs w:val="21"/>
                    </w:rPr>
                    <w:t>t/a</w:t>
                  </w:r>
                </w:p>
              </w:tc>
              <w:tc>
                <w:tcPr>
                  <w:tcW w:w="996"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rPr>
                    <w:t>0.2</w:t>
                  </w:r>
                  <w:r>
                    <w:rPr>
                      <w:color w:val="000000"/>
                      <w:szCs w:val="21"/>
                    </w:rPr>
                    <w:t>t/a</w:t>
                  </w:r>
                </w:p>
              </w:tc>
              <w:tc>
                <w:tcPr>
                  <w:tcW w:w="966"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686"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774"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842"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已签</w:t>
                  </w:r>
                </w:p>
              </w:tc>
              <w:tc>
                <w:tcPr>
                  <w:tcW w:w="813"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widowControl/>
                    <w:adjustRightInd w:val="0"/>
                    <w:snapToGrid w:val="0"/>
                    <w:jc w:val="center"/>
                    <w:rPr>
                      <w:rFonts w:hint="eastAsia"/>
                      <w:szCs w:val="21"/>
                    </w:rPr>
                  </w:pPr>
                  <w:r>
                    <w:rPr>
                      <w:rFonts w:hint="eastAsia"/>
                      <w:szCs w:val="21"/>
                    </w:rPr>
                    <w:t>除尘器收集的</w:t>
                  </w:r>
                </w:p>
                <w:p>
                  <w:pPr>
                    <w:widowControl/>
                    <w:adjustRightInd w:val="0"/>
                    <w:snapToGrid w:val="0"/>
                    <w:jc w:val="center"/>
                    <w:rPr>
                      <w:rFonts w:hint="eastAsia" w:ascii="Times New Roman" w:hAnsi="Times New Roman" w:cs="Times New Roman"/>
                      <w:b w:val="0"/>
                      <w:bCs/>
                      <w:sz w:val="21"/>
                      <w:lang w:eastAsia="zh-CN"/>
                    </w:rPr>
                  </w:pPr>
                  <w:r>
                    <w:rPr>
                      <w:rFonts w:hint="eastAsia"/>
                      <w:szCs w:val="21"/>
                    </w:rPr>
                    <w:t>漆磨粉尘</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ascii="Times New Roman" w:hAnsi="Times New Roman" w:cs="Times New Roman"/>
                      <w:b w:val="0"/>
                      <w:bCs/>
                      <w:sz w:val="21"/>
                      <w:lang w:eastAsia="zh-CN"/>
                    </w:rPr>
                  </w:pPr>
                  <w:r>
                    <w:rPr>
                      <w:rFonts w:hint="eastAsia" w:ascii="Times New Roman" w:hAnsi="Times New Roman" w:cs="Times New Roman"/>
                      <w:b w:val="0"/>
                      <w:bCs/>
                      <w:sz w:val="21"/>
                      <w:lang w:eastAsia="zh-CN"/>
                    </w:rPr>
                    <w:t>水帘除尘</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sz w:val="21"/>
                      <w:szCs w:val="21"/>
                      <w:lang w:eastAsia="zh-CN"/>
                    </w:rPr>
                  </w:pPr>
                  <w:r>
                    <w:rPr>
                      <w:rFonts w:hint="eastAsia"/>
                      <w:sz w:val="21"/>
                      <w:szCs w:val="21"/>
                      <w:lang w:eastAsia="zh-CN"/>
                    </w:rPr>
                    <w:t>危险废物</w:t>
                  </w:r>
                </w:p>
              </w:tc>
              <w:tc>
                <w:tcPr>
                  <w:tcW w:w="997"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rPr>
                    <w:t>0.275</w:t>
                  </w:r>
                  <w:r>
                    <w:rPr>
                      <w:color w:val="000000"/>
                      <w:szCs w:val="21"/>
                    </w:rPr>
                    <w:t>t/a</w:t>
                  </w:r>
                </w:p>
              </w:tc>
              <w:tc>
                <w:tcPr>
                  <w:tcW w:w="996"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rPr>
                    <w:t>0.275</w:t>
                  </w:r>
                  <w:r>
                    <w:rPr>
                      <w:color w:val="000000"/>
                      <w:szCs w:val="21"/>
                    </w:rPr>
                    <w:t>t/a</w:t>
                  </w:r>
                </w:p>
              </w:tc>
              <w:tc>
                <w:tcPr>
                  <w:tcW w:w="966"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686"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774"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842"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已签</w:t>
                  </w:r>
                </w:p>
              </w:tc>
              <w:tc>
                <w:tcPr>
                  <w:tcW w:w="813"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widowControl/>
                    <w:adjustRightInd w:val="0"/>
                    <w:snapToGrid w:val="0"/>
                    <w:jc w:val="center"/>
                    <w:rPr>
                      <w:rFonts w:hint="eastAsia" w:ascii="Times New Roman" w:hAnsi="Times New Roman" w:cs="Times New Roman"/>
                      <w:b w:val="0"/>
                      <w:bCs/>
                      <w:sz w:val="21"/>
                      <w:lang w:eastAsia="zh-CN"/>
                    </w:rPr>
                  </w:pPr>
                  <w:r>
                    <w:rPr>
                      <w:rFonts w:hint="eastAsia"/>
                      <w:szCs w:val="21"/>
                    </w:rPr>
                    <w:t>漆渣</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ascii="Times New Roman" w:hAnsi="Times New Roman" w:cs="Times New Roman"/>
                      <w:b w:val="0"/>
                      <w:bCs/>
                      <w:sz w:val="21"/>
                      <w:lang w:eastAsia="zh-CN"/>
                    </w:rPr>
                  </w:pPr>
                  <w:r>
                    <w:rPr>
                      <w:rFonts w:hint="eastAsia" w:ascii="Times New Roman" w:hAnsi="Times New Roman" w:cs="Times New Roman"/>
                      <w:b w:val="0"/>
                      <w:bCs/>
                      <w:sz w:val="21"/>
                      <w:lang w:eastAsia="zh-CN"/>
                    </w:rPr>
                    <w:t>打磨工段</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sz w:val="21"/>
                      <w:szCs w:val="21"/>
                      <w:lang w:eastAsia="zh-CN"/>
                    </w:rPr>
                  </w:pPr>
                  <w:r>
                    <w:rPr>
                      <w:rFonts w:hint="eastAsia"/>
                      <w:sz w:val="21"/>
                      <w:szCs w:val="21"/>
                      <w:lang w:eastAsia="zh-CN"/>
                    </w:rPr>
                    <w:t>危险废物</w:t>
                  </w:r>
                </w:p>
              </w:tc>
              <w:tc>
                <w:tcPr>
                  <w:tcW w:w="997"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rPr>
                    <w:t>1</w:t>
                  </w:r>
                  <w:r>
                    <w:rPr>
                      <w:color w:val="000000"/>
                      <w:szCs w:val="21"/>
                    </w:rPr>
                    <w:t>t/a</w:t>
                  </w:r>
                </w:p>
              </w:tc>
              <w:tc>
                <w:tcPr>
                  <w:tcW w:w="996"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rPr>
                    <w:t>1</w:t>
                  </w:r>
                  <w:r>
                    <w:rPr>
                      <w:color w:val="000000"/>
                      <w:szCs w:val="21"/>
                    </w:rPr>
                    <w:t>t/a</w:t>
                  </w:r>
                </w:p>
              </w:tc>
              <w:tc>
                <w:tcPr>
                  <w:tcW w:w="966"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686"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774"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842"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已签</w:t>
                  </w:r>
                </w:p>
              </w:tc>
              <w:tc>
                <w:tcPr>
                  <w:tcW w:w="813"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widowControl/>
                    <w:adjustRightInd w:val="0"/>
                    <w:snapToGrid w:val="0"/>
                    <w:jc w:val="center"/>
                    <w:rPr>
                      <w:rFonts w:hint="eastAsia" w:ascii="Times New Roman" w:hAnsi="Times New Roman" w:cs="Times New Roman"/>
                      <w:b w:val="0"/>
                      <w:bCs/>
                      <w:sz w:val="21"/>
                      <w:lang w:eastAsia="zh-CN"/>
                    </w:rPr>
                  </w:pPr>
                  <w:r>
                    <w:rPr>
                      <w:rFonts w:hint="eastAsia"/>
                      <w:szCs w:val="21"/>
                      <w:lang w:eastAsia="zh-CN"/>
                    </w:rPr>
                    <w:t>废胶渣</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ascii="Times New Roman" w:hAnsi="Times New Roman" w:cs="Times New Roman"/>
                      <w:b w:val="0"/>
                      <w:bCs/>
                      <w:sz w:val="21"/>
                      <w:lang w:eastAsia="zh-CN"/>
                    </w:rPr>
                  </w:pPr>
                  <w:r>
                    <w:rPr>
                      <w:rFonts w:hint="eastAsia" w:ascii="Times New Roman" w:hAnsi="Times New Roman" w:cs="Times New Roman"/>
                      <w:b w:val="0"/>
                      <w:bCs/>
                      <w:sz w:val="21"/>
                      <w:lang w:eastAsia="zh-CN"/>
                    </w:rPr>
                    <w:t>活性炭吸附</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sz w:val="21"/>
                      <w:szCs w:val="21"/>
                      <w:lang w:eastAsia="zh-CN"/>
                    </w:rPr>
                  </w:pPr>
                  <w:r>
                    <w:rPr>
                      <w:rFonts w:hint="eastAsia"/>
                      <w:sz w:val="21"/>
                      <w:szCs w:val="21"/>
                      <w:lang w:eastAsia="zh-CN"/>
                    </w:rPr>
                    <w:t>危险废物</w:t>
                  </w:r>
                </w:p>
              </w:tc>
              <w:tc>
                <w:tcPr>
                  <w:tcW w:w="997"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lang w:val="en-US" w:eastAsia="zh-CN"/>
                    </w:rPr>
                    <w:t>0.01t/a</w:t>
                  </w:r>
                </w:p>
              </w:tc>
              <w:tc>
                <w:tcPr>
                  <w:tcW w:w="996" w:type="dxa"/>
                  <w:vAlign w:val="center"/>
                </w:tcPr>
                <w:p>
                  <w:pPr>
                    <w:widowControl/>
                    <w:adjustRightInd w:val="0"/>
                    <w:snapToGrid w:val="0"/>
                    <w:jc w:val="center"/>
                    <w:rPr>
                      <w:rFonts w:hint="eastAsia"/>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color w:val="000000"/>
                      <w:szCs w:val="21"/>
                      <w:lang w:val="en-US" w:eastAsia="zh-CN"/>
                    </w:rPr>
                    <w:t>0.01t/a</w:t>
                  </w:r>
                </w:p>
              </w:tc>
              <w:tc>
                <w:tcPr>
                  <w:tcW w:w="966"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1151" w:type="dxa"/>
                  <w:vMerge w:val="continue"/>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p>
              </w:tc>
              <w:tc>
                <w:tcPr>
                  <w:tcW w:w="686"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774"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有</w:t>
                  </w:r>
                </w:p>
              </w:tc>
              <w:tc>
                <w:tcPr>
                  <w:tcW w:w="842"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已签</w:t>
                  </w:r>
                </w:p>
              </w:tc>
              <w:tc>
                <w:tcPr>
                  <w:tcW w:w="813" w:type="dxa"/>
                  <w:vAlign w:val="center"/>
                </w:tcPr>
                <w:p>
                  <w:pPr>
                    <w:adjustRightInd w:val="0"/>
                    <w:snapToGrid w:val="0"/>
                    <w:spacing w:line="240" w:lineRule="auto"/>
                    <w:ind w:firstLine="0" w:firstLineChars="0"/>
                    <w:jc w:val="center"/>
                    <w:rPr>
                      <w:rFonts w:hint="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已入库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2"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cs="Times New Roman"/>
                      <w:b w:val="0"/>
                      <w:bCs/>
                      <w:sz w:val="21"/>
                    </w:rPr>
                    <w:t>生活垃圾</w:t>
                  </w:r>
                </w:p>
              </w:tc>
              <w:tc>
                <w:tcPr>
                  <w:tcW w:w="761" w:type="dxa"/>
                  <w:vAlign w:val="center"/>
                </w:tcPr>
                <w:p>
                  <w:pPr>
                    <w:pStyle w:val="34"/>
                    <w:keepNext w:val="0"/>
                    <w:keepLines w:val="0"/>
                    <w:pageBreakBefore w:val="0"/>
                    <w:widowControl w:val="0"/>
                    <w:kinsoku/>
                    <w:wordWrap/>
                    <w:overflowPunct/>
                    <w:topLinePunct w:val="0"/>
                    <w:autoSpaceDE w:val="0"/>
                    <w:autoSpaceDN w:val="0"/>
                    <w:bidi w:val="0"/>
                    <w:adjustRightInd/>
                    <w:snapToGrid/>
                    <w:spacing w:before="0" w:line="240" w:lineRule="atLeast"/>
                    <w:ind w:left="0" w:leftChars="0" w:right="0" w:rightChars="0" w:firstLine="0" w:firstLineChars="0"/>
                    <w:jc w:val="center"/>
                    <w:textAlignment w:val="auto"/>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default" w:ascii="Times New Roman" w:hAnsi="Times New Roman" w:cs="Times New Roman"/>
                      <w:b w:val="0"/>
                      <w:bCs/>
                      <w:sz w:val="21"/>
                    </w:rPr>
                    <w:t>员工办公</w:t>
                  </w:r>
                </w:p>
              </w:tc>
              <w:tc>
                <w:tcPr>
                  <w:tcW w:w="705" w:type="dxa"/>
                  <w:vAlign w:val="center"/>
                </w:tcPr>
                <w:p>
                  <w:pPr>
                    <w:keepNext w:val="0"/>
                    <w:keepLines w:val="0"/>
                    <w:pageBreakBefore w:val="0"/>
                    <w:widowControl/>
                    <w:kinsoku/>
                    <w:wordWrap/>
                    <w:overflowPunct/>
                    <w:topLinePunct w:val="0"/>
                    <w:bidi w:val="0"/>
                    <w:adjustRightInd w:val="0"/>
                    <w:snapToGrid w:val="0"/>
                    <w:spacing w:line="240" w:lineRule="atLeast"/>
                    <w:ind w:firstLine="0" w:firstLineChars="0"/>
                    <w:jc w:val="center"/>
                    <w:textAlignment w:val="auto"/>
                    <w:rPr>
                      <w:rFonts w:hint="eastAsia" w:eastAsiaTheme="minorEastAsia"/>
                      <w:color w:val="0D0D0D" w:themeColor="text1" w:themeTint="F2"/>
                      <w:kern w:val="0"/>
                      <w:sz w:val="21"/>
                      <w:szCs w:val="21"/>
                      <w:lang w:eastAsia="zh-CN"/>
                      <w14:textFill>
                        <w14:solidFill>
                          <w14:schemeClr w14:val="tx1">
                            <w14:lumMod w14:val="95000"/>
                            <w14:lumOff w14:val="5000"/>
                          </w14:schemeClr>
                        </w14:solidFill>
                      </w14:textFill>
                    </w:rPr>
                  </w:pPr>
                  <w:r>
                    <w:rPr>
                      <w:rFonts w:hint="eastAsia"/>
                      <w:color w:val="0D0D0D" w:themeColor="text1" w:themeTint="F2"/>
                      <w:spacing w:val="6"/>
                      <w:sz w:val="21"/>
                      <w:szCs w:val="21"/>
                      <w:lang w:eastAsia="zh-CN"/>
                      <w14:textFill>
                        <w14:solidFill>
                          <w14:schemeClr w14:val="tx1">
                            <w14:lumMod w14:val="95000"/>
                            <w14:lumOff w14:val="5000"/>
                          </w14:schemeClr>
                        </w14:solidFill>
                      </w14:textFill>
                    </w:rPr>
                    <w:t>生活垃圾</w:t>
                  </w:r>
                </w:p>
              </w:tc>
              <w:tc>
                <w:tcPr>
                  <w:tcW w:w="997" w:type="dxa"/>
                  <w:vAlign w:val="center"/>
                </w:tcPr>
                <w:p>
                  <w:pPr>
                    <w:widowControl/>
                    <w:adjustRightInd w:val="0"/>
                    <w:snapToGrid w:val="0"/>
                    <w:spacing w:line="240" w:lineRule="auto"/>
                    <w:ind w:firstLine="0" w:firstLineChars="0"/>
                    <w:jc w:val="center"/>
                    <w:rPr>
                      <w:color w:val="0D0D0D" w:themeColor="text1" w:themeTint="F2"/>
                      <w:kern w:val="0"/>
                      <w:sz w:val="21"/>
                      <w:szCs w:val="21"/>
                      <w14:textFill>
                        <w14:solidFill>
                          <w14:schemeClr w14:val="tx1">
                            <w14:lumMod w14:val="95000"/>
                            <w14:lumOff w14:val="5000"/>
                          </w14:schemeClr>
                        </w14:solidFill>
                      </w14:textFill>
                    </w:rPr>
                  </w:pPr>
                  <w:r>
                    <w:rPr>
                      <w:rFonts w:hint="eastAsia"/>
                      <w:szCs w:val="21"/>
                      <w:lang w:val="en-US" w:eastAsia="zh-CN"/>
                    </w:rPr>
                    <w:t>1.5</w:t>
                  </w:r>
                  <w:r>
                    <w:rPr>
                      <w:szCs w:val="21"/>
                    </w:rPr>
                    <w:t>t/a</w:t>
                  </w:r>
                </w:p>
              </w:tc>
              <w:tc>
                <w:tcPr>
                  <w:tcW w:w="996" w:type="dxa"/>
                  <w:vAlign w:val="center"/>
                </w:tcPr>
                <w:p>
                  <w:pPr>
                    <w:widowControl/>
                    <w:adjustRightInd w:val="0"/>
                    <w:snapToGrid w:val="0"/>
                    <w:spacing w:line="240" w:lineRule="auto"/>
                    <w:ind w:firstLine="0" w:firstLineChars="0"/>
                    <w:jc w:val="center"/>
                    <w:rPr>
                      <w:rFonts w:hint="eastAsia"/>
                      <w:color w:val="0D0D0D" w:themeColor="text1" w:themeTint="F2"/>
                      <w:kern w:val="0"/>
                      <w:sz w:val="21"/>
                      <w:szCs w:val="21"/>
                      <w14:textFill>
                        <w14:solidFill>
                          <w14:schemeClr w14:val="tx1">
                            <w14:lumMod w14:val="95000"/>
                            <w14:lumOff w14:val="5000"/>
                          </w14:schemeClr>
                        </w14:solidFill>
                      </w14:textFill>
                    </w:rPr>
                  </w:pPr>
                  <w:r>
                    <w:rPr>
                      <w:rFonts w:hint="eastAsia"/>
                      <w:szCs w:val="21"/>
                      <w:lang w:val="en-US" w:eastAsia="zh-CN"/>
                    </w:rPr>
                    <w:t>1.5</w:t>
                  </w:r>
                  <w:r>
                    <w:rPr>
                      <w:szCs w:val="21"/>
                    </w:rPr>
                    <w:t>t/a</w:t>
                  </w:r>
                </w:p>
              </w:tc>
              <w:tc>
                <w:tcPr>
                  <w:tcW w:w="966"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收集后由环卫部门统一清运</w:t>
                  </w:r>
                </w:p>
              </w:tc>
              <w:tc>
                <w:tcPr>
                  <w:tcW w:w="1151" w:type="dxa"/>
                  <w:vAlign w:val="center"/>
                </w:tcPr>
                <w:p>
                  <w:pPr>
                    <w:adjustRightInd w:val="0"/>
                    <w:snapToGrid w:val="0"/>
                    <w:spacing w:line="240" w:lineRule="auto"/>
                    <w:ind w:firstLine="0" w:firstLineChars="0"/>
                    <w:jc w:val="center"/>
                    <w:rPr>
                      <w:rFonts w:hint="default"/>
                      <w:color w:val="0D0D0D" w:themeColor="text1" w:themeTint="F2"/>
                      <w:sz w:val="21"/>
                      <w:szCs w:val="21"/>
                      <w:lang w:val="en-US"/>
                      <w14:textFill>
                        <w14:solidFill>
                          <w14:schemeClr w14:val="tx1">
                            <w14:lumMod w14:val="95000"/>
                            <w14:lumOff w14:val="5000"/>
                          </w14:schemeClr>
                        </w14:solidFill>
                      </w14:textFill>
                    </w:rPr>
                  </w:pPr>
                  <w:r>
                    <w:rPr>
                      <w:rFonts w:hint="eastAsia"/>
                      <w:color w:val="0D0D0D" w:themeColor="text1" w:themeTint="F2"/>
                      <w:sz w:val="21"/>
                      <w:szCs w:val="21"/>
                      <w:lang w:eastAsia="zh-CN"/>
                      <w14:textFill>
                        <w14:solidFill>
                          <w14:schemeClr w14:val="tx1">
                            <w14:lumMod w14:val="95000"/>
                            <w14:lumOff w14:val="5000"/>
                          </w14:schemeClr>
                        </w14:solidFill>
                      </w14:textFill>
                    </w:rPr>
                    <w:t>垃圾桶</w:t>
                  </w:r>
                </w:p>
              </w:tc>
              <w:tc>
                <w:tcPr>
                  <w:tcW w:w="686"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c>
                <w:tcPr>
                  <w:tcW w:w="774"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c>
                <w:tcPr>
                  <w:tcW w:w="842" w:type="dxa"/>
                  <w:vAlign w:val="center"/>
                </w:tcPr>
                <w:p>
                  <w:pPr>
                    <w:adjustRightInd w:val="0"/>
                    <w:snapToGrid w:val="0"/>
                    <w:spacing w:line="240" w:lineRule="auto"/>
                    <w:ind w:firstLine="0" w:firstLineChars="0"/>
                    <w:jc w:val="center"/>
                    <w:rPr>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c>
                <w:tcPr>
                  <w:tcW w:w="813" w:type="dxa"/>
                  <w:vAlign w:val="center"/>
                </w:tcPr>
                <w:p>
                  <w:pPr>
                    <w:adjustRightInd w:val="0"/>
                    <w:snapToGrid w:val="0"/>
                    <w:spacing w:line="240" w:lineRule="auto"/>
                    <w:ind w:firstLine="0" w:firstLineChars="0"/>
                    <w:jc w:val="center"/>
                    <w:rPr>
                      <w:rFonts w:hint="eastAsia"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color w:val="0D0D0D" w:themeColor="text1" w:themeTint="F2"/>
                      <w:sz w:val="21"/>
                      <w:szCs w:val="21"/>
                      <w:lang w:val="en-US" w:eastAsia="zh-CN"/>
                      <w14:textFill>
                        <w14:solidFill>
                          <w14:schemeClr w14:val="tx1">
                            <w14:lumMod w14:val="95000"/>
                            <w14:lumOff w14:val="5000"/>
                          </w14:schemeClr>
                        </w14:solidFill>
                      </w14:textFill>
                    </w:rPr>
                    <w:t>/</w:t>
                  </w:r>
                </w:p>
              </w:tc>
            </w:tr>
          </w:tbl>
          <w:p>
            <w:pPr>
              <w:pStyle w:val="28"/>
              <w:spacing w:line="480" w:lineRule="exact"/>
              <w:ind w:firstLine="482" w:firstLineChars="200"/>
            </w:pPr>
            <w:r>
              <w:rPr>
                <w:rFonts w:hint="eastAsia"/>
                <w:color w:val="auto"/>
              </w:rPr>
              <w:t>5、</w:t>
            </w:r>
            <w:bookmarkEnd w:id="2"/>
            <w:bookmarkEnd w:id="3"/>
            <w:bookmarkEnd w:id="4"/>
            <w:bookmarkEnd w:id="5"/>
            <w:r>
              <w:rPr>
                <w:rFonts w:hint="eastAsia"/>
                <w:color w:val="auto"/>
              </w:rPr>
              <w:t>环保设施投资及“三同时”落实情况</w:t>
            </w:r>
            <w:bookmarkEnd w:id="6"/>
          </w:p>
          <w:p>
            <w:pPr>
              <w:widowControl/>
              <w:spacing w:line="480" w:lineRule="exact"/>
              <w:jc w:val="center"/>
              <w:rPr>
                <w:b/>
                <w:sz w:val="24"/>
              </w:rPr>
            </w:pPr>
            <w:bookmarkStart w:id="7" w:name="_Toc26729"/>
            <w:r>
              <w:rPr>
                <w:b/>
                <w:sz w:val="24"/>
              </w:rPr>
              <w:t>表</w:t>
            </w:r>
            <w:r>
              <w:rPr>
                <w:rFonts w:hint="eastAsia"/>
                <w:b/>
                <w:sz w:val="24"/>
              </w:rPr>
              <w:t>3.</w:t>
            </w:r>
            <w:r>
              <w:rPr>
                <w:rFonts w:hint="eastAsia"/>
                <w:b/>
                <w:sz w:val="24"/>
                <w:lang w:val="en-US" w:eastAsia="zh-CN"/>
              </w:rPr>
              <w:t>5</w:t>
            </w:r>
            <w:r>
              <w:rPr>
                <w:rFonts w:hint="eastAsia"/>
                <w:b/>
                <w:sz w:val="24"/>
              </w:rPr>
              <w:t xml:space="preserve"> </w:t>
            </w:r>
            <w:r>
              <w:rPr>
                <w:b/>
                <w:sz w:val="24"/>
              </w:rPr>
              <w:t>项目现阶段</w:t>
            </w:r>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bookmarkEnd w:id="7"/>
          <w:tbl>
            <w:tblPr>
              <w:tblStyle w:val="21"/>
              <w:tblW w:w="937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39"/>
              <w:gridCol w:w="1313"/>
              <w:gridCol w:w="2634"/>
              <w:gridCol w:w="872"/>
              <w:gridCol w:w="2606"/>
              <w:gridCol w:w="12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 w:hRule="atLeast"/>
                <w:jc w:val="center"/>
              </w:trPr>
              <w:tc>
                <w:tcPr>
                  <w:tcW w:w="739"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类 别</w:t>
                  </w:r>
                </w:p>
              </w:tc>
              <w:tc>
                <w:tcPr>
                  <w:tcW w:w="1313"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治理对象</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rFonts w:hint="eastAsia"/>
                      <w:b/>
                      <w:sz w:val="21"/>
                      <w:lang w:eastAsia="zh-CN"/>
                    </w:rPr>
                    <w:t>环评申报</w:t>
                  </w:r>
                  <w:r>
                    <w:rPr>
                      <w:b/>
                      <w:sz w:val="21"/>
                    </w:rPr>
                    <w:t>治理方案</w:t>
                  </w:r>
                </w:p>
              </w:tc>
              <w:tc>
                <w:tcPr>
                  <w:tcW w:w="872"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rFonts w:hint="eastAsia"/>
                      <w:b/>
                      <w:sz w:val="21"/>
                      <w:lang w:eastAsia="zh-CN"/>
                    </w:rPr>
                    <w:t>环评申报</w:t>
                  </w:r>
                  <w:r>
                    <w:rPr>
                      <w:b/>
                      <w:sz w:val="21"/>
                    </w:rPr>
                    <w:t>投资</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Theme="minorEastAsia"/>
                      <w:b/>
                      <w:sz w:val="21"/>
                      <w:lang w:eastAsia="zh-CN"/>
                    </w:rPr>
                  </w:pPr>
                  <w:r>
                    <w:rPr>
                      <w:rFonts w:hint="eastAsia"/>
                      <w:b/>
                      <w:sz w:val="21"/>
                      <w:lang w:eastAsia="zh-CN"/>
                    </w:rPr>
                    <w:t>实际治理方案</w:t>
                  </w:r>
                </w:p>
              </w:tc>
              <w:tc>
                <w:tcPr>
                  <w:tcW w:w="1209"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sz w:val="21"/>
                      <w:lang w:eastAsia="zh-CN"/>
                    </w:rPr>
                  </w:pPr>
                  <w:r>
                    <w:rPr>
                      <w:rFonts w:hint="eastAsia"/>
                      <w:b/>
                      <w:sz w:val="21"/>
                      <w:lang w:eastAsia="zh-CN"/>
                    </w:rPr>
                    <w:t>实际投资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jc w:val="center"/>
              </w:trPr>
              <w:tc>
                <w:tcPr>
                  <w:tcW w:w="739" w:type="dxa"/>
                  <w:vMerge w:val="restart"/>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废气防治措施</w:t>
                  </w:r>
                </w:p>
              </w:tc>
              <w:tc>
                <w:tcPr>
                  <w:tcW w:w="1313" w:type="dxa"/>
                  <w:vAlign w:val="center"/>
                </w:tcPr>
                <w:p>
                  <w:pPr>
                    <w:adjustRightInd w:val="0"/>
                    <w:snapToGrid w:val="0"/>
                    <w:jc w:val="center"/>
                    <w:rPr>
                      <w:sz w:val="21"/>
                      <w:szCs w:val="21"/>
                    </w:rPr>
                  </w:pPr>
                  <w:r>
                    <w:rPr>
                      <w:rFonts w:hint="eastAsia"/>
                      <w:sz w:val="21"/>
                      <w:szCs w:val="21"/>
                      <w:highlight w:val="none"/>
                    </w:rPr>
                    <w:t>木工粉尘</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rFonts w:hint="default" w:ascii="Times New Roman" w:hAnsi="Times New Roman" w:cs="Times New Roman"/>
                      <w:sz w:val="21"/>
                    </w:rPr>
                    <w:t>布袋除尘器</w:t>
                  </w:r>
                  <w:r>
                    <w:rPr>
                      <w:rFonts w:hint="default" w:ascii="Times New Roman" w:hAnsi="Times New Roman" w:cs="Times New Roman"/>
                      <w:sz w:val="21"/>
                      <w:lang w:val="en-US" w:eastAsia="zh-CN"/>
                    </w:rPr>
                    <w:t>+</w:t>
                  </w:r>
                  <w:r>
                    <w:rPr>
                      <w:rFonts w:hint="default" w:ascii="Times New Roman" w:hAnsi="Times New Roman" w:cs="Times New Roman"/>
                      <w:sz w:val="21"/>
                    </w:rPr>
                    <w:t>15m高排气筒</w:t>
                  </w:r>
                </w:p>
              </w:tc>
              <w:tc>
                <w:tcPr>
                  <w:tcW w:w="872"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eastAsiaTheme="minorEastAsia"/>
                      <w:sz w:val="21"/>
                      <w:lang w:eastAsia="zh-CN"/>
                    </w:rPr>
                  </w:pPr>
                  <w:r>
                    <w:rPr>
                      <w:rFonts w:hint="eastAsia" w:ascii="Times New Roman"/>
                      <w:w w:val="100"/>
                      <w:sz w:val="21"/>
                      <w:lang w:val="en-US" w:eastAsia="zh-CN"/>
                    </w:rPr>
                    <w:t>2</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eastAsiaTheme="minorEastAsia"/>
                      <w:w w:val="100"/>
                      <w:sz w:val="21"/>
                      <w:lang w:val="en-US" w:eastAsia="zh-CN"/>
                    </w:rPr>
                  </w:pPr>
                  <w:r>
                    <w:rPr>
                      <w:rFonts w:hint="default" w:ascii="Times New Roman" w:hAnsi="Times New Roman" w:cs="Times New Roman"/>
                      <w:sz w:val="21"/>
                    </w:rPr>
                    <w:t>布袋除尘器</w:t>
                  </w:r>
                  <w:r>
                    <w:rPr>
                      <w:rFonts w:hint="default" w:ascii="Times New Roman" w:hAnsi="Times New Roman" w:cs="Times New Roman"/>
                      <w:sz w:val="21"/>
                      <w:lang w:val="en-US" w:eastAsia="zh-CN"/>
                    </w:rPr>
                    <w:t>+</w:t>
                  </w:r>
                  <w:r>
                    <w:rPr>
                      <w:rFonts w:hint="default" w:ascii="Times New Roman" w:hAnsi="Times New Roman" w:cs="Times New Roman"/>
                      <w:sz w:val="21"/>
                    </w:rPr>
                    <w:t>15m高排气筒</w:t>
                  </w:r>
                </w:p>
              </w:tc>
              <w:tc>
                <w:tcPr>
                  <w:tcW w:w="1209"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w w:val="100"/>
                      <w:sz w:val="21"/>
                      <w:lang w:val="en-US" w:eastAsia="zh-CN"/>
                    </w:rPr>
                  </w:pPr>
                  <w:r>
                    <w:rPr>
                      <w:rFonts w:hint="eastAsia" w:ascii="Times New Roman"/>
                      <w:w w:val="100"/>
                      <w:sz w:val="21"/>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jc w:val="center"/>
              </w:trPr>
              <w:tc>
                <w:tcPr>
                  <w:tcW w:w="739" w:type="dxa"/>
                  <w:vMerge w:val="continue"/>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1313" w:type="dxa"/>
                  <w:vAlign w:val="center"/>
                </w:tcPr>
                <w:p>
                  <w:pPr>
                    <w:adjustRightInd w:val="0"/>
                    <w:snapToGrid w:val="0"/>
                    <w:jc w:val="center"/>
                    <w:rPr>
                      <w:sz w:val="21"/>
                      <w:szCs w:val="21"/>
                    </w:rPr>
                  </w:pPr>
                  <w:r>
                    <w:rPr>
                      <w:rFonts w:hint="eastAsia"/>
                      <w:sz w:val="21"/>
                      <w:szCs w:val="21"/>
                      <w:highlight w:val="none"/>
                    </w:rPr>
                    <w:t>胶水废气</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Theme="minorEastAsia"/>
                      <w:sz w:val="21"/>
                      <w:lang w:val="en-US" w:eastAsia="zh-CN"/>
                    </w:rPr>
                  </w:pPr>
                  <w:r>
                    <w:rPr>
                      <w:rFonts w:hint="eastAsia"/>
                      <w:sz w:val="21"/>
                      <w:lang w:eastAsia="zh-CN"/>
                    </w:rPr>
                    <w:t>二级活性炭</w:t>
                  </w:r>
                  <w:r>
                    <w:rPr>
                      <w:rFonts w:hint="eastAsia"/>
                      <w:sz w:val="21"/>
                      <w:lang w:val="en-US" w:eastAsia="zh-CN"/>
                    </w:rPr>
                    <w:t>+</w:t>
                  </w:r>
                  <w:r>
                    <w:rPr>
                      <w:rFonts w:hint="default" w:ascii="Times New Roman" w:hAnsi="Times New Roman" w:cs="Times New Roman"/>
                      <w:sz w:val="21"/>
                    </w:rPr>
                    <w:t>15m高排气筒</w:t>
                  </w:r>
                </w:p>
              </w:tc>
              <w:tc>
                <w:tcPr>
                  <w:tcW w:w="872"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eastAsiaTheme="minorEastAsia"/>
                      <w:w w:val="100"/>
                      <w:sz w:val="21"/>
                      <w:lang w:val="en-US" w:eastAsia="zh-CN"/>
                    </w:rPr>
                  </w:pPr>
                  <w:r>
                    <w:rPr>
                      <w:rFonts w:hint="eastAsia" w:ascii="Times New Roman"/>
                      <w:w w:val="100"/>
                      <w:sz w:val="21"/>
                      <w:lang w:val="en-US" w:eastAsia="zh-CN"/>
                    </w:rPr>
                    <w:t>4</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w w:val="100"/>
                      <w:sz w:val="21"/>
                      <w:lang w:val="en-US" w:eastAsia="zh-CN"/>
                    </w:rPr>
                  </w:pPr>
                  <w:r>
                    <w:rPr>
                      <w:rFonts w:hint="eastAsia" w:ascii="Times New Roman"/>
                      <w:w w:val="100"/>
                      <w:sz w:val="21"/>
                      <w:lang w:val="en-US" w:eastAsia="zh-CN"/>
                    </w:rPr>
                    <w:t>/</w:t>
                  </w:r>
                </w:p>
              </w:tc>
              <w:tc>
                <w:tcPr>
                  <w:tcW w:w="1209"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w w:val="100"/>
                      <w:sz w:val="21"/>
                      <w:lang w:val="en-US" w:eastAsia="zh-CN"/>
                    </w:rPr>
                  </w:pPr>
                  <w:r>
                    <w:rPr>
                      <w:rFonts w:hint="eastAsia" w:ascii="Times New Roman"/>
                      <w:w w:val="100"/>
                      <w:sz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jc w:val="center"/>
              </w:trPr>
              <w:tc>
                <w:tcPr>
                  <w:tcW w:w="739" w:type="dxa"/>
                  <w:vMerge w:val="continue"/>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1313" w:type="dxa"/>
                  <w:vAlign w:val="center"/>
                </w:tcPr>
                <w:p>
                  <w:pPr>
                    <w:adjustRightInd w:val="0"/>
                    <w:snapToGrid w:val="0"/>
                    <w:jc w:val="center"/>
                    <w:rPr>
                      <w:sz w:val="21"/>
                      <w:szCs w:val="21"/>
                    </w:rPr>
                  </w:pPr>
                  <w:r>
                    <w:rPr>
                      <w:rFonts w:hint="eastAsia"/>
                      <w:sz w:val="21"/>
                      <w:szCs w:val="21"/>
                      <w:highlight w:val="none"/>
                    </w:rPr>
                    <w:t>涂装废气</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rFonts w:hint="eastAsia" w:ascii="Times New Roman" w:hAnsi="Times New Roman" w:cs="Times New Roman"/>
                      <w:sz w:val="21"/>
                      <w:lang w:eastAsia="zh-CN"/>
                    </w:rPr>
                    <w:t>水帘</w:t>
                  </w:r>
                  <w:r>
                    <w:rPr>
                      <w:rFonts w:hint="default" w:ascii="Times New Roman" w:hAnsi="Times New Roman" w:cs="Times New Roman"/>
                      <w:sz w:val="21"/>
                    </w:rPr>
                    <w:t>柜+干式过滤棉层对漆雾颗粒进行吸收干燥后引入1套“二级活性炭吸附”处理系统处理后最终由1根15m排气筒有组织排放</w:t>
                  </w:r>
                </w:p>
              </w:tc>
              <w:tc>
                <w:tcPr>
                  <w:tcW w:w="872"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eastAsiaTheme="minorEastAsia"/>
                      <w:w w:val="100"/>
                      <w:sz w:val="21"/>
                      <w:lang w:val="en-US" w:eastAsia="zh-CN"/>
                    </w:rPr>
                  </w:pPr>
                  <w:r>
                    <w:rPr>
                      <w:rFonts w:hint="eastAsia" w:ascii="Times New Roman"/>
                      <w:w w:val="100"/>
                      <w:sz w:val="21"/>
                      <w:lang w:val="en-US" w:eastAsia="zh-CN"/>
                    </w:rPr>
                    <w:t>6</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w w:val="100"/>
                      <w:sz w:val="21"/>
                      <w:lang w:val="en-US" w:eastAsia="zh-CN"/>
                    </w:rPr>
                  </w:pPr>
                  <w:r>
                    <w:rPr>
                      <w:rFonts w:hint="eastAsia" w:ascii="Times New Roman" w:hAnsi="Times New Roman" w:cs="Times New Roman"/>
                      <w:sz w:val="21"/>
                      <w:lang w:eastAsia="zh-CN"/>
                    </w:rPr>
                    <w:t>水帘</w:t>
                  </w:r>
                  <w:r>
                    <w:rPr>
                      <w:rFonts w:hint="default" w:ascii="Times New Roman" w:hAnsi="Times New Roman" w:cs="Times New Roman"/>
                      <w:sz w:val="21"/>
                    </w:rPr>
                    <w:t>柜+干式过滤棉层对漆雾颗粒进行吸收干燥后引入</w:t>
                  </w:r>
                  <w:r>
                    <w:rPr>
                      <w:rFonts w:hint="eastAsia" w:ascii="Times New Roman" w:hAnsi="Times New Roman" w:cs="Times New Roman"/>
                      <w:sz w:val="21"/>
                      <w:lang w:val="en-US" w:eastAsia="zh-CN"/>
                    </w:rPr>
                    <w:t>1</w:t>
                  </w:r>
                  <w:r>
                    <w:rPr>
                      <w:rFonts w:hint="default" w:ascii="Times New Roman" w:hAnsi="Times New Roman" w:cs="Times New Roman"/>
                      <w:sz w:val="21"/>
                    </w:rPr>
                    <w:t>套“二级活性炭吸附”处理系统处理后最终由</w:t>
                  </w:r>
                  <w:r>
                    <w:rPr>
                      <w:rFonts w:hint="eastAsia" w:ascii="Times New Roman" w:hAnsi="Times New Roman" w:cs="Times New Roman"/>
                      <w:sz w:val="21"/>
                      <w:lang w:val="en-US" w:eastAsia="zh-CN"/>
                    </w:rPr>
                    <w:t>1</w:t>
                  </w:r>
                  <w:r>
                    <w:rPr>
                      <w:rFonts w:hint="default" w:ascii="Times New Roman" w:hAnsi="Times New Roman" w:cs="Times New Roman"/>
                      <w:sz w:val="21"/>
                    </w:rPr>
                    <w:t>根15m排气筒有组织排放</w:t>
                  </w:r>
                </w:p>
              </w:tc>
              <w:tc>
                <w:tcPr>
                  <w:tcW w:w="1209"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w w:val="100"/>
                      <w:sz w:val="21"/>
                      <w:lang w:val="en-US" w:eastAsia="zh-CN"/>
                    </w:rPr>
                  </w:pPr>
                  <w:r>
                    <w:rPr>
                      <w:rFonts w:hint="eastAsia" w:ascii="Times New Roman"/>
                      <w:w w:val="100"/>
                      <w:sz w:val="21"/>
                      <w:lang w:val="en-US" w:eastAsia="zh-CN"/>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739"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c>
                <w:tcPr>
                  <w:tcW w:w="1313" w:type="dxa"/>
                  <w:vAlign w:val="center"/>
                </w:tcPr>
                <w:p>
                  <w:pPr>
                    <w:adjustRightInd w:val="0"/>
                    <w:snapToGrid w:val="0"/>
                    <w:jc w:val="center"/>
                    <w:rPr>
                      <w:sz w:val="21"/>
                      <w:szCs w:val="21"/>
                    </w:rPr>
                  </w:pPr>
                  <w:r>
                    <w:rPr>
                      <w:rFonts w:hint="eastAsia"/>
                      <w:sz w:val="21"/>
                      <w:szCs w:val="21"/>
                      <w:highlight w:val="none"/>
                    </w:rPr>
                    <w:t>漆磨粉尘</w:t>
                  </w:r>
                </w:p>
              </w:tc>
              <w:tc>
                <w:tcPr>
                  <w:tcW w:w="2634" w:type="dxa"/>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Theme="minorEastAsia"/>
                      <w:sz w:val="21"/>
                      <w:szCs w:val="21"/>
                      <w:lang w:eastAsia="zh-CN"/>
                    </w:rPr>
                  </w:pPr>
                  <w:r>
                    <w:rPr>
                      <w:rFonts w:hint="eastAsia"/>
                      <w:sz w:val="21"/>
                      <w:szCs w:val="21"/>
                      <w:lang w:eastAsia="zh-CN"/>
                    </w:rPr>
                    <w:t>布袋除尘器</w:t>
                  </w:r>
                </w:p>
              </w:tc>
              <w:tc>
                <w:tcPr>
                  <w:tcW w:w="872" w:type="dxa"/>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Theme="minorEastAsia"/>
                      <w:sz w:val="21"/>
                      <w:szCs w:val="21"/>
                      <w:lang w:val="en-US" w:eastAsia="zh-CN"/>
                    </w:rPr>
                  </w:pPr>
                  <w:r>
                    <w:rPr>
                      <w:rFonts w:hint="eastAsia"/>
                      <w:sz w:val="21"/>
                      <w:szCs w:val="21"/>
                      <w:lang w:val="en-US" w:eastAsia="zh-CN"/>
                    </w:rPr>
                    <w:t>1</w:t>
                  </w:r>
                </w:p>
              </w:tc>
              <w:tc>
                <w:tcPr>
                  <w:tcW w:w="2606"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Theme="minorEastAsia"/>
                      <w:sz w:val="2"/>
                      <w:szCs w:val="2"/>
                      <w:lang w:val="en-US" w:eastAsia="zh-CN"/>
                    </w:rPr>
                  </w:pPr>
                  <w:r>
                    <w:rPr>
                      <w:rFonts w:hint="eastAsia" w:cs="Times New Roman"/>
                      <w:sz w:val="21"/>
                      <w:lang w:eastAsia="zh-CN"/>
                    </w:rPr>
                    <w:t>负压收集</w:t>
                  </w:r>
                  <w:r>
                    <w:rPr>
                      <w:rFonts w:hint="eastAsia" w:cs="Times New Roman"/>
                      <w:sz w:val="21"/>
                      <w:lang w:val="en-US" w:eastAsia="zh-CN"/>
                    </w:rPr>
                    <w:t>+水吸收</w:t>
                  </w:r>
                </w:p>
              </w:tc>
              <w:tc>
                <w:tcPr>
                  <w:tcW w:w="1209"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Theme="minorEastAsia"/>
                      <w:sz w:val="21"/>
                      <w:szCs w:val="21"/>
                      <w:lang w:val="en-US" w:eastAsia="zh-CN"/>
                    </w:rPr>
                  </w:pPr>
                  <w:r>
                    <w:rPr>
                      <w:rFonts w:hint="eastAsia"/>
                      <w:sz w:val="2"/>
                      <w:szCs w:val="2"/>
                      <w:lang w:val="en-US" w:eastAsia="zh-CN"/>
                    </w:rPr>
                    <w:t>3</w:t>
                  </w:r>
                  <w:r>
                    <w:rPr>
                      <w:rFonts w:hint="eastAsia"/>
                      <w:sz w:val="21"/>
                      <w:szCs w:val="21"/>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jc w:val="center"/>
              </w:trPr>
              <w:tc>
                <w:tcPr>
                  <w:tcW w:w="739" w:type="dxa"/>
                  <w:vMerge w:val="restart"/>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废水防治措施</w:t>
                  </w:r>
                </w:p>
              </w:tc>
              <w:tc>
                <w:tcPr>
                  <w:tcW w:w="1313"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生活污水</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Theme="minorEastAsia"/>
                      <w:sz w:val="21"/>
                      <w:lang w:eastAsia="zh-CN"/>
                    </w:rPr>
                  </w:pPr>
                  <w:r>
                    <w:rPr>
                      <w:rFonts w:hint="eastAsia"/>
                      <w:sz w:val="21"/>
                      <w:lang w:eastAsia="zh-CN"/>
                    </w:rPr>
                    <w:t>化粪池</w:t>
                  </w:r>
                </w:p>
              </w:tc>
              <w:tc>
                <w:tcPr>
                  <w:tcW w:w="872" w:type="dxa"/>
                  <w:vMerge w:val="restart"/>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eastAsiaTheme="minorEastAsia"/>
                      <w:sz w:val="21"/>
                      <w:lang w:eastAsia="zh-CN"/>
                    </w:rPr>
                  </w:pPr>
                  <w:r>
                    <w:rPr>
                      <w:rFonts w:hint="eastAsia" w:ascii="Times New Roman"/>
                      <w:w w:val="100"/>
                      <w:sz w:val="21"/>
                      <w:lang w:val="en-US" w:eastAsia="zh-CN"/>
                    </w:rPr>
                    <w:t>4</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eastAsiaTheme="minorEastAsia"/>
                      <w:w w:val="100"/>
                      <w:sz w:val="21"/>
                      <w:lang w:val="en-US" w:eastAsia="zh-CN"/>
                    </w:rPr>
                  </w:pPr>
                  <w:r>
                    <w:rPr>
                      <w:rFonts w:hint="eastAsia"/>
                      <w:sz w:val="21"/>
                      <w:lang w:eastAsia="zh-CN"/>
                    </w:rPr>
                    <w:t>化粪池</w:t>
                  </w:r>
                </w:p>
              </w:tc>
              <w:tc>
                <w:tcPr>
                  <w:tcW w:w="1209" w:type="dxa"/>
                  <w:vMerge w:val="restart"/>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w w:val="100"/>
                      <w:sz w:val="21"/>
                      <w:lang w:val="en-US" w:eastAsia="zh-CN"/>
                    </w:rPr>
                  </w:pPr>
                  <w:r>
                    <w:rPr>
                      <w:rFonts w:hint="eastAsia" w:ascii="Times New Roman"/>
                      <w:w w:val="100"/>
                      <w:sz w:val="21"/>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jc w:val="center"/>
              </w:trPr>
              <w:tc>
                <w:tcPr>
                  <w:tcW w:w="739"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c>
                <w:tcPr>
                  <w:tcW w:w="1313"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生产废水</w:t>
                  </w:r>
                </w:p>
              </w:tc>
              <w:tc>
                <w:tcPr>
                  <w:tcW w:w="2634" w:type="dxa"/>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szCs w:val="21"/>
                    </w:rPr>
                  </w:pPr>
                  <w:r>
                    <w:rPr>
                      <w:rFonts w:hint="default"/>
                      <w:sz w:val="21"/>
                      <w:szCs w:val="21"/>
                    </w:rPr>
                    <w:t>一体化处理设备（处理工艺：絮凝沉淀，处理规模：</w:t>
                  </w:r>
                  <w:r>
                    <w:rPr>
                      <w:rFonts w:hint="eastAsia"/>
                      <w:sz w:val="21"/>
                      <w:szCs w:val="21"/>
                      <w:lang w:val="en-US" w:eastAsia="zh-CN"/>
                    </w:rPr>
                    <w:t>12</w:t>
                  </w:r>
                  <w:r>
                    <w:rPr>
                      <w:rFonts w:hint="default"/>
                      <w:sz w:val="21"/>
                      <w:szCs w:val="21"/>
                    </w:rPr>
                    <w:t>t/d）</w:t>
                  </w:r>
                </w:p>
              </w:tc>
              <w:tc>
                <w:tcPr>
                  <w:tcW w:w="872" w:type="dxa"/>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c>
                <w:tcPr>
                  <w:tcW w:w="2606"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2"/>
                      <w:szCs w:val="2"/>
                    </w:rPr>
                  </w:pPr>
                  <w:r>
                    <w:rPr>
                      <w:rFonts w:hint="default"/>
                      <w:sz w:val="21"/>
                      <w:szCs w:val="21"/>
                    </w:rPr>
                    <w:t>一体化处理设备（处理工艺：絮凝沉淀，处理规模：</w:t>
                  </w:r>
                  <w:r>
                    <w:rPr>
                      <w:rFonts w:hint="eastAsia"/>
                      <w:sz w:val="21"/>
                      <w:szCs w:val="21"/>
                      <w:lang w:val="en-US" w:eastAsia="zh-CN"/>
                    </w:rPr>
                    <w:t>12</w:t>
                  </w:r>
                  <w:r>
                    <w:rPr>
                      <w:rFonts w:hint="default"/>
                      <w:sz w:val="21"/>
                      <w:szCs w:val="21"/>
                    </w:rPr>
                    <w:t>t/d）</w:t>
                  </w:r>
                </w:p>
              </w:tc>
              <w:tc>
                <w:tcPr>
                  <w:tcW w:w="1209" w:type="dxa"/>
                  <w:vMerge w:val="continue"/>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0" w:hRule="atLeast"/>
                <w:jc w:val="center"/>
              </w:trPr>
              <w:tc>
                <w:tcPr>
                  <w:tcW w:w="739"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噪声防</w:t>
                  </w:r>
                </w:p>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治措施</w:t>
                  </w:r>
                </w:p>
              </w:tc>
              <w:tc>
                <w:tcPr>
                  <w:tcW w:w="1313"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产噪设备</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距离衰减，厂房隔声等</w:t>
                  </w:r>
                </w:p>
              </w:tc>
              <w:tc>
                <w:tcPr>
                  <w:tcW w:w="872"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w w:val="100"/>
                      <w:sz w:val="21"/>
                    </w:rPr>
                  </w:pPr>
                  <w:r>
                    <w:rPr>
                      <w:sz w:val="21"/>
                    </w:rPr>
                    <w:t>距离衰减，厂房隔声等</w:t>
                  </w:r>
                </w:p>
              </w:tc>
              <w:tc>
                <w:tcPr>
                  <w:tcW w:w="1209"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r>
                    <w:rPr>
                      <w:rFonts w:ascii="Times New Roman"/>
                      <w:w w:val="100"/>
                      <w:sz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jc w:val="center"/>
              </w:trPr>
              <w:tc>
                <w:tcPr>
                  <w:tcW w:w="739" w:type="dxa"/>
                  <w:vMerge w:val="restart"/>
                  <w:tcBorders>
                    <w:lef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固废防治措施</w:t>
                  </w:r>
                </w:p>
              </w:tc>
              <w:tc>
                <w:tcPr>
                  <w:tcW w:w="1313"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Theme="minorEastAsia"/>
                      <w:sz w:val="21"/>
                      <w:lang w:eastAsia="zh-CN"/>
                    </w:rPr>
                  </w:pPr>
                  <w:r>
                    <w:rPr>
                      <w:rFonts w:hint="eastAsia"/>
                      <w:sz w:val="21"/>
                      <w:lang w:eastAsia="zh-CN"/>
                    </w:rPr>
                    <w:t>一般工业固体废物</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依托现有一般固废堆场，收集后外售综合利用；</w:t>
                  </w:r>
                </w:p>
              </w:tc>
              <w:tc>
                <w:tcPr>
                  <w:tcW w:w="872" w:type="dxa"/>
                  <w:vMerge w:val="restart"/>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eastAsiaTheme="minorEastAsia"/>
                      <w:sz w:val="21"/>
                      <w:lang w:eastAsia="zh-CN"/>
                    </w:rPr>
                  </w:pPr>
                  <w:r>
                    <w:rPr>
                      <w:rFonts w:hint="eastAsia" w:ascii="Times New Roman"/>
                      <w:w w:val="100"/>
                      <w:sz w:val="21"/>
                      <w:lang w:val="en-US" w:eastAsia="zh-CN"/>
                    </w:rPr>
                    <w:t>3</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eastAsiaTheme="minorEastAsia"/>
                      <w:w w:val="100"/>
                      <w:sz w:val="21"/>
                      <w:lang w:val="en-US" w:eastAsia="zh-CN"/>
                    </w:rPr>
                  </w:pPr>
                  <w:r>
                    <w:rPr>
                      <w:sz w:val="21"/>
                    </w:rPr>
                    <w:t>依托现有一般固废堆场，收集后外售综合利用；</w:t>
                  </w:r>
                </w:p>
              </w:tc>
              <w:tc>
                <w:tcPr>
                  <w:tcW w:w="1209" w:type="dxa"/>
                  <w:vMerge w:val="restart"/>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w w:val="100"/>
                      <w:sz w:val="21"/>
                      <w:lang w:val="en-US" w:eastAsia="zh-CN"/>
                    </w:rPr>
                  </w:pPr>
                  <w:r>
                    <w:rPr>
                      <w:rFonts w:hint="eastAsia" w:ascii="Times New Roman"/>
                      <w:w w:val="100"/>
                      <w:sz w:val="21"/>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0" w:hRule="atLeast"/>
                <w:jc w:val="center"/>
              </w:trPr>
              <w:tc>
                <w:tcPr>
                  <w:tcW w:w="739" w:type="dxa"/>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c>
                <w:tcPr>
                  <w:tcW w:w="1313"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Theme="minorEastAsia"/>
                      <w:sz w:val="21"/>
                      <w:lang w:eastAsia="zh-CN"/>
                    </w:rPr>
                  </w:pPr>
                  <w:r>
                    <w:rPr>
                      <w:rFonts w:hint="eastAsia"/>
                      <w:sz w:val="21"/>
                      <w:lang w:eastAsia="zh-CN"/>
                    </w:rPr>
                    <w:t>危险废物</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新建危废暂存库暂存，后委托有资质的危险废物处置单位处置。</w:t>
                  </w:r>
                </w:p>
              </w:tc>
              <w:tc>
                <w:tcPr>
                  <w:tcW w:w="872" w:type="dxa"/>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2"/>
                      <w:szCs w:val="2"/>
                    </w:rPr>
                  </w:pPr>
                  <w:r>
                    <w:rPr>
                      <w:sz w:val="21"/>
                    </w:rPr>
                    <w:t>新建危废暂存库暂存，后委托有资质的危险废物处置单位处置。</w:t>
                  </w:r>
                </w:p>
              </w:tc>
              <w:tc>
                <w:tcPr>
                  <w:tcW w:w="1209" w:type="dxa"/>
                  <w:vMerge w:val="continue"/>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1" w:hRule="atLeast"/>
                <w:jc w:val="center"/>
              </w:trPr>
              <w:tc>
                <w:tcPr>
                  <w:tcW w:w="739" w:type="dxa"/>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c>
                <w:tcPr>
                  <w:tcW w:w="1313"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生活垃圾</w:t>
                  </w:r>
                </w:p>
              </w:tc>
              <w:tc>
                <w:tcPr>
                  <w:tcW w:w="2634"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垃圾收集桶，收集后委托环卫部门清运处理。</w:t>
                  </w:r>
                </w:p>
              </w:tc>
              <w:tc>
                <w:tcPr>
                  <w:tcW w:w="872" w:type="dxa"/>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2"/>
                      <w:szCs w:val="2"/>
                    </w:rPr>
                  </w:pPr>
                  <w:r>
                    <w:rPr>
                      <w:sz w:val="21"/>
                    </w:rPr>
                    <w:t>垃圾收集桶，收集后委托环卫部门清运处理。</w:t>
                  </w:r>
                </w:p>
              </w:tc>
              <w:tc>
                <w:tcPr>
                  <w:tcW w:w="1209" w:type="dxa"/>
                  <w:vMerge w:val="continue"/>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 w:hRule="atLeast"/>
                <w:jc w:val="center"/>
              </w:trPr>
              <w:tc>
                <w:tcPr>
                  <w:tcW w:w="4686" w:type="dxa"/>
                  <w:gridSpan w:val="3"/>
                  <w:tcBorders>
                    <w:lef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总计</w:t>
                  </w:r>
                </w:p>
              </w:tc>
              <w:tc>
                <w:tcPr>
                  <w:tcW w:w="872"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eastAsiaTheme="minorEastAsia"/>
                      <w:sz w:val="21"/>
                      <w:lang w:val="en-US" w:eastAsia="zh-CN"/>
                    </w:rPr>
                  </w:pPr>
                  <w:r>
                    <w:rPr>
                      <w:rFonts w:hint="eastAsia" w:ascii="Times New Roman"/>
                      <w:sz w:val="21"/>
                      <w:lang w:val="en-US" w:eastAsia="zh-CN"/>
                    </w:rPr>
                    <w:t>20</w:t>
                  </w:r>
                </w:p>
              </w:tc>
              <w:tc>
                <w:tcPr>
                  <w:tcW w:w="2606"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eastAsiaTheme="minorEastAsia"/>
                      <w:sz w:val="21"/>
                      <w:lang w:val="en-US" w:eastAsia="zh-CN"/>
                    </w:rPr>
                  </w:pPr>
                </w:p>
              </w:tc>
              <w:tc>
                <w:tcPr>
                  <w:tcW w:w="1209" w:type="dxa"/>
                  <w:tcBorders>
                    <w:right w:val="single" w:color="000000" w:sz="4" w:space="0"/>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sz w:val="21"/>
                      <w:lang w:val="en-US" w:eastAsia="zh-CN"/>
                    </w:rPr>
                  </w:pPr>
                  <w:r>
                    <w:rPr>
                      <w:rFonts w:hint="eastAsia" w:ascii="Times New Roman"/>
                      <w:sz w:val="21"/>
                      <w:lang w:val="en-US" w:eastAsia="zh-CN"/>
                    </w:rPr>
                    <w:t>25</w:t>
                  </w:r>
                </w:p>
              </w:tc>
            </w:tr>
          </w:tbl>
          <w:p>
            <w:pPr>
              <w:rPr>
                <w:sz w:val="24"/>
              </w:rPr>
            </w:pPr>
          </w:p>
        </w:tc>
      </w:tr>
    </w:tbl>
    <w:p>
      <w:pPr>
        <w:rPr>
          <w:b/>
          <w:sz w:val="24"/>
        </w:rPr>
      </w:pPr>
      <w:r>
        <w:rPr>
          <w:rFonts w:hint="eastAsia"/>
          <w:b/>
          <w:sz w:val="24"/>
        </w:rPr>
        <w:br w:type="page"/>
      </w:r>
    </w:p>
    <w:p>
      <w:pPr>
        <w:spacing w:line="360" w:lineRule="auto"/>
        <w:jc w:val="left"/>
        <w:rPr>
          <w:b/>
          <w:sz w:val="28"/>
          <w:szCs w:val="28"/>
        </w:rPr>
      </w:pPr>
      <w:r>
        <w:rPr>
          <w:rFonts w:hint="eastAsia"/>
          <w:b/>
          <w:sz w:val="28"/>
          <w:szCs w:val="28"/>
        </w:rPr>
        <w:t xml:space="preserve">表四 </w:t>
      </w:r>
    </w:p>
    <w:tbl>
      <w:tblPr>
        <w:tblStyle w:val="21"/>
        <w:tblW w:w="9467" w:type="dxa"/>
        <w:tblInd w:w="-4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15" w:hRule="atLeast"/>
        </w:trPr>
        <w:tc>
          <w:tcPr>
            <w:tcW w:w="9467" w:type="dxa"/>
          </w:tcPr>
          <w:p>
            <w:pPr>
              <w:spacing w:line="360" w:lineRule="auto"/>
              <w:rPr>
                <w:b/>
                <w:bCs/>
                <w:sz w:val="24"/>
                <w:szCs w:val="32"/>
              </w:rPr>
            </w:pPr>
            <w:r>
              <w:rPr>
                <w:rFonts w:hint="eastAsia"/>
                <w:b/>
                <w:bCs/>
                <w:sz w:val="24"/>
                <w:szCs w:val="32"/>
              </w:rPr>
              <w:t>建设项目环境影响报告表主要结论及审批部门审批决定：</w:t>
            </w:r>
          </w:p>
          <w:p>
            <w:pPr>
              <w:spacing w:line="360" w:lineRule="auto"/>
              <w:ind w:firstLine="482" w:firstLineChars="200"/>
              <w:rPr>
                <w:b/>
                <w:bCs/>
                <w:sz w:val="24"/>
                <w:szCs w:val="32"/>
              </w:rPr>
            </w:pPr>
            <w:r>
              <w:rPr>
                <w:rFonts w:hint="eastAsia"/>
                <w:b/>
                <w:bCs/>
                <w:sz w:val="24"/>
                <w:szCs w:val="32"/>
              </w:rPr>
              <w:t>1、环评</w:t>
            </w:r>
            <w:r>
              <w:rPr>
                <w:b/>
                <w:bCs/>
                <w:sz w:val="24"/>
                <w:szCs w:val="32"/>
              </w:rPr>
              <w:t>主要结论</w:t>
            </w:r>
          </w:p>
          <w:p>
            <w:pPr>
              <w:pStyle w:val="13"/>
              <w:ind w:firstLine="0"/>
              <w:jc w:val="center"/>
              <w:rPr>
                <w:b/>
                <w:bCs/>
                <w:sz w:val="24"/>
                <w:szCs w:val="32"/>
              </w:rPr>
            </w:pPr>
            <w:r>
              <w:rPr>
                <w:rFonts w:hint="eastAsia"/>
                <w:b/>
                <w:bCs/>
                <w:sz w:val="24"/>
                <w:szCs w:val="32"/>
              </w:rPr>
              <w:t>表4.1 项目环评表主要结论</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4197"/>
              <w:gridCol w:w="4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40" w:type="pct"/>
                  <w:vAlign w:val="center"/>
                </w:tcPr>
                <w:p>
                  <w:pPr>
                    <w:jc w:val="center"/>
                    <w:rPr>
                      <w:rFonts w:cs="Times New Roman"/>
                      <w:szCs w:val="21"/>
                    </w:rPr>
                  </w:pPr>
                  <w:r>
                    <w:rPr>
                      <w:rFonts w:cs="Times New Roman"/>
                      <w:szCs w:val="21"/>
                    </w:rPr>
                    <w:t>项目</w:t>
                  </w:r>
                </w:p>
              </w:tc>
              <w:tc>
                <w:tcPr>
                  <w:tcW w:w="2272" w:type="pct"/>
                  <w:vAlign w:val="center"/>
                </w:tcPr>
                <w:p>
                  <w:pPr>
                    <w:jc w:val="center"/>
                    <w:rPr>
                      <w:rFonts w:cs="Times New Roman"/>
                      <w:szCs w:val="21"/>
                    </w:rPr>
                  </w:pPr>
                  <w:r>
                    <w:rPr>
                      <w:rFonts w:hint="eastAsia" w:cs="Times New Roman"/>
                      <w:szCs w:val="21"/>
                    </w:rPr>
                    <w:t>环评</w:t>
                  </w:r>
                  <w:r>
                    <w:rPr>
                      <w:rFonts w:cs="Times New Roman"/>
                      <w:szCs w:val="21"/>
                    </w:rPr>
                    <w:t>结论</w:t>
                  </w:r>
                </w:p>
              </w:tc>
              <w:tc>
                <w:tcPr>
                  <w:tcW w:w="2287" w:type="pct"/>
                  <w:vAlign w:val="center"/>
                </w:tcPr>
                <w:p>
                  <w:pPr>
                    <w:jc w:val="center"/>
                    <w:rPr>
                      <w:rFonts w:cs="Times New Roman"/>
                      <w:szCs w:val="21"/>
                    </w:rPr>
                  </w:pPr>
                  <w:r>
                    <w:rPr>
                      <w:rFonts w:hint="eastAsia" w:cs="Times New Roman"/>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9" w:hRule="atLeast"/>
                <w:jc w:val="center"/>
              </w:trPr>
              <w:tc>
                <w:tcPr>
                  <w:tcW w:w="440" w:type="pct"/>
                  <w:vAlign w:val="center"/>
                </w:tcPr>
                <w:p>
                  <w:pPr>
                    <w:jc w:val="center"/>
                    <w:rPr>
                      <w:rFonts w:cs="Times New Roman"/>
                      <w:szCs w:val="21"/>
                    </w:rPr>
                  </w:pPr>
                  <w:r>
                    <w:rPr>
                      <w:rFonts w:cs="Times New Roman"/>
                      <w:szCs w:val="21"/>
                    </w:rPr>
                    <w:t>大气环境影响分析结论</w:t>
                  </w:r>
                </w:p>
              </w:tc>
              <w:tc>
                <w:tcPr>
                  <w:tcW w:w="2272" w:type="pct"/>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cs="Times New Roman" w:eastAsiaTheme="minorEastAsia"/>
                      <w:spacing w:val="0"/>
                      <w:sz w:val="21"/>
                      <w:szCs w:val="21"/>
                      <w:lang w:val="en-US" w:eastAsia="zh-CN"/>
                    </w:rPr>
                  </w:pPr>
                  <w:r>
                    <w:rPr>
                      <w:rFonts w:hint="default" w:ascii="Times New Roman" w:hAnsi="Times New Roman" w:cs="Times New Roman" w:eastAsiaTheme="minorEastAsia"/>
                      <w:spacing w:val="0"/>
                      <w:sz w:val="21"/>
                      <w:szCs w:val="21"/>
                      <w:lang w:val="en-US" w:eastAsia="zh-CN"/>
                    </w:rPr>
                    <w:t>封闭木工工段、调漆室、喷漆室、打磨间、烘干房、晾干房、拼装及贴皮车间，木工粉尘经负压收集+沉降室+脉冲布袋除尘器处理后，通过15米高排气筒排放；建设调漆、喷漆、烘干、晾干整体式封闭生产车间，喷漆废气经水帘+干式过滤棉处理，与调漆、烘干、晾干废气一起再经二级活性炭吸附装置处理后，通过15米高排气筒排放；漆磨粉尘经负压收集+布袋除尘器处理后，通过15米高排气筒排放；胶水废气经负压收集+二级活性炭吸附装置处 理后，通过15米高排气筒排放。确保VOCs、颗粒物排放满足  上海市地方标准《大气污染物综合排放标准》(DB31/933-2015) 中的标准要求，厂区内VOCs无组织排放执行《挥发性有机物无</w:t>
                  </w:r>
                </w:p>
                <w:p>
                  <w:pPr>
                    <w:pStyle w:val="31"/>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cs="Times New Roman" w:eastAsiaTheme="minorEastAsia"/>
                      <w:spacing w:val="0"/>
                      <w:sz w:val="21"/>
                      <w:szCs w:val="21"/>
                      <w:lang w:val="en-US" w:eastAsia="zh-CN"/>
                    </w:rPr>
                  </w:pPr>
                  <w:r>
                    <w:rPr>
                      <w:rFonts w:hint="default" w:ascii="Times New Roman" w:hAnsi="Times New Roman" w:cs="Times New Roman" w:eastAsiaTheme="minorEastAsia"/>
                      <w:spacing w:val="0"/>
                      <w:sz w:val="21"/>
                      <w:szCs w:val="21"/>
                      <w:lang w:val="en-US" w:eastAsia="zh-CN"/>
                    </w:rPr>
                    <w:t>组织排放控制标准》(GB37822-2019)中的标准要求</w:t>
                  </w:r>
                </w:p>
              </w:tc>
              <w:tc>
                <w:tcPr>
                  <w:tcW w:w="2287" w:type="pct"/>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cs="Times New Roman" w:eastAsiaTheme="minorEastAsia"/>
                      <w:spacing w:val="0"/>
                      <w:sz w:val="21"/>
                      <w:szCs w:val="21"/>
                      <w:lang w:val="en-US" w:eastAsia="zh-CN"/>
                    </w:rPr>
                  </w:pPr>
                  <w:r>
                    <w:rPr>
                      <w:rFonts w:hint="default" w:ascii="Times New Roman" w:hAnsi="Times New Roman" w:cs="Times New Roman" w:eastAsiaTheme="minorEastAsia"/>
                      <w:spacing w:val="0"/>
                      <w:sz w:val="21"/>
                      <w:szCs w:val="21"/>
                      <w:lang w:val="en-US" w:eastAsia="zh-CN"/>
                    </w:rPr>
                    <w:t>封闭木工工段、调漆室、喷漆室、打磨间、晾干房、拼装及贴皮车间，木工粉尘经负压收集+沉降室+脉冲布袋除尘器处理后，通过15米高排气筒排放；建设调漆、喷漆、烘干、晾干整体式封闭生产车间，喷漆废气经水帘+干式过滤棉处理，与调漆、烘干、晾干废气一起再经二级活性炭吸附装置处理后，通过15米高排气筒排放；漆磨粉尘经负压收集+</w:t>
                  </w:r>
                  <w:r>
                    <w:rPr>
                      <w:rFonts w:hint="eastAsia" w:ascii="Times New Roman" w:hAnsi="Times New Roman" w:cs="Times New Roman"/>
                      <w:spacing w:val="0"/>
                      <w:sz w:val="21"/>
                      <w:szCs w:val="21"/>
                      <w:lang w:val="en-US" w:eastAsia="zh-CN"/>
                    </w:rPr>
                    <w:t>水吸收</w:t>
                  </w:r>
                  <w:r>
                    <w:rPr>
                      <w:rFonts w:hint="default" w:ascii="Times New Roman" w:hAnsi="Times New Roman" w:cs="Times New Roman" w:eastAsiaTheme="minorEastAsia"/>
                      <w:spacing w:val="0"/>
                      <w:sz w:val="21"/>
                      <w:szCs w:val="21"/>
                      <w:lang w:val="en-US" w:eastAsia="zh-CN"/>
                    </w:rPr>
                    <w:t>处理后，通过15米高排气筒排放；胶水废气经负压收集+二级活性炭吸附装置处 理后，通过15米高排气筒排放。确保VOCs、颗粒物排放满足  上海市地方标准《大气污染物综合排放标准》(DB31/933-2015) 中的标准要求，厂区内VOCs无组织排放执行《挥发性有机物无组织排放控制标准》(GB37822-2019)中的标准要求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1" w:hRule="atLeast"/>
                <w:jc w:val="center"/>
              </w:trPr>
              <w:tc>
                <w:tcPr>
                  <w:tcW w:w="440" w:type="pct"/>
                  <w:vAlign w:val="center"/>
                </w:tcPr>
                <w:p>
                  <w:pPr>
                    <w:jc w:val="center"/>
                    <w:rPr>
                      <w:rFonts w:cs="Times New Roman"/>
                      <w:szCs w:val="21"/>
                    </w:rPr>
                  </w:pPr>
                  <w:r>
                    <w:rPr>
                      <w:rFonts w:cs="Times New Roman"/>
                      <w:szCs w:val="21"/>
                    </w:rPr>
                    <w:t>地表水环境影响分析结论</w:t>
                  </w:r>
                </w:p>
              </w:tc>
              <w:tc>
                <w:tcPr>
                  <w:tcW w:w="227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cs="Times New Roman"/>
                      <w:szCs w:val="21"/>
                    </w:rPr>
                  </w:pPr>
                  <w:r>
                    <w:rPr>
                      <w:rFonts w:cs="Times New Roman"/>
                      <w:szCs w:val="21"/>
                    </w:rPr>
                    <w:t>严格按照“雨污分流，一口对外”的标准要求，规范雨、污管网建设。近期，生活废水经化粪池充分预处理后，合理综合利用，不外排。远期，待棠树乡三拐污水处理厂建设完成且污水管网延伸至本项目附近，生活废水经充分预处理，达到《污水综合排放标准》(GB8978-1996)三级标准和棠树乡三拐污水处理厂接管标准后，排入棠树乡三拐污水处理厂深度处理，达标排放。水帘废水经一体化处理设备处理，上清液回用于水帘柜循环使用，不外排</w:t>
                  </w:r>
                </w:p>
              </w:tc>
              <w:tc>
                <w:tcPr>
                  <w:tcW w:w="2287" w:type="pct"/>
                  <w:vAlign w:val="center"/>
                </w:tcPr>
                <w:p>
                  <w:pPr>
                    <w:jc w:val="center"/>
                    <w:rPr>
                      <w:rFonts w:hint="eastAsia" w:cs="Times New Roman" w:eastAsiaTheme="minorEastAsia"/>
                      <w:szCs w:val="21"/>
                      <w:lang w:eastAsia="zh-CN"/>
                    </w:rPr>
                  </w:pPr>
                  <w:r>
                    <w:rPr>
                      <w:rFonts w:hint="eastAsia" w:cs="Times New Roman"/>
                      <w:szCs w:val="21"/>
                      <w:lang w:eastAsia="zh-CN"/>
                    </w:rPr>
                    <w:t>与环评结论一致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40" w:type="pct"/>
                  <w:vAlign w:val="center"/>
                </w:tcPr>
                <w:p>
                  <w:pPr>
                    <w:jc w:val="center"/>
                    <w:rPr>
                      <w:rFonts w:cs="Times New Roman"/>
                      <w:szCs w:val="21"/>
                    </w:rPr>
                  </w:pPr>
                  <w:r>
                    <w:rPr>
                      <w:rFonts w:cs="Times New Roman"/>
                      <w:szCs w:val="21"/>
                    </w:rPr>
                    <w:t>噪声治理</w:t>
                  </w:r>
                </w:p>
              </w:tc>
              <w:tc>
                <w:tcPr>
                  <w:tcW w:w="227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cs="Times New Roman"/>
                      <w:szCs w:val="21"/>
                    </w:rPr>
                  </w:pPr>
                  <w:r>
                    <w:rPr>
                      <w:rFonts w:cs="Times New Roman"/>
                      <w:szCs w:val="21"/>
                    </w:rPr>
                    <w:t>切实做好推台锯、砂光机等噪声源强的减振、降噪及其生产车间封闭，强化企业内部环境管理，规范操作行为</w:t>
                  </w:r>
                </w:p>
              </w:tc>
              <w:tc>
                <w:tcPr>
                  <w:tcW w:w="2287" w:type="pct"/>
                  <w:vAlign w:val="center"/>
                </w:tcPr>
                <w:p>
                  <w:pPr>
                    <w:pStyle w:val="31"/>
                    <w:spacing w:line="240" w:lineRule="auto"/>
                    <w:ind w:left="0" w:leftChars="0" w:right="0" w:firstLine="0" w:firstLineChars="0"/>
                    <w:jc w:val="center"/>
                    <w:rPr>
                      <w:rFonts w:hint="eastAsia" w:ascii="Times New Roman" w:hAnsi="Times New Roman" w:cs="Times New Roman" w:eastAsiaTheme="minorEastAsia"/>
                      <w:spacing w:val="0"/>
                      <w:sz w:val="21"/>
                      <w:szCs w:val="21"/>
                      <w:lang w:eastAsia="zh-CN"/>
                    </w:rPr>
                  </w:pPr>
                  <w:r>
                    <w:rPr>
                      <w:rFonts w:hint="eastAsia" w:ascii="Times New Roman" w:hAnsi="Times New Roman" w:cs="Times New Roman"/>
                      <w:spacing w:val="0"/>
                      <w:sz w:val="21"/>
                      <w:szCs w:val="21"/>
                      <w:lang w:eastAsia="zh-CN"/>
                    </w:rPr>
                    <w:t>项目</w:t>
                  </w:r>
                  <w:r>
                    <w:rPr>
                      <w:rFonts w:hint="eastAsia" w:ascii="Times New Roman" w:hAnsi="Times New Roman" w:cs="Times New Roman"/>
                      <w:spacing w:val="0"/>
                      <w:sz w:val="21"/>
                      <w:szCs w:val="21"/>
                    </w:rPr>
                    <w:t>已配套降噪减震措施，根据监测结果表明，项目</w:t>
                  </w:r>
                  <w:r>
                    <w:rPr>
                      <w:rFonts w:hint="eastAsia" w:ascii="Times New Roman" w:hAnsi="Times New Roman" w:cs="Times New Roman"/>
                      <w:spacing w:val="0"/>
                      <w:sz w:val="21"/>
                      <w:szCs w:val="21"/>
                      <w:lang w:eastAsia="zh-CN"/>
                    </w:rPr>
                    <w:t>区能够</w:t>
                  </w:r>
                  <w:r>
                    <w:rPr>
                      <w:rFonts w:hint="eastAsia" w:ascii="Times New Roman" w:hAnsi="Times New Roman" w:cs="Times New Roman"/>
                      <w:spacing w:val="0"/>
                      <w:sz w:val="21"/>
                      <w:szCs w:val="21"/>
                    </w:rPr>
                    <w:t>达</w:t>
                  </w:r>
                  <w:r>
                    <w:rPr>
                      <w:rFonts w:hint="eastAsia" w:ascii="Times New Roman" w:hAnsi="Times New Roman" w:cs="Times New Roman"/>
                      <w:spacing w:val="0"/>
                      <w:sz w:val="21"/>
                      <w:szCs w:val="21"/>
                      <w:lang w:eastAsia="zh-CN"/>
                    </w:rPr>
                    <w:t>到</w:t>
                  </w:r>
                  <w:r>
                    <w:rPr>
                      <w:rFonts w:hint="eastAsia" w:ascii="Times New Roman" w:hAnsi="Times New Roman" w:cs="Times New Roman"/>
                      <w:spacing w:val="0"/>
                      <w:sz w:val="21"/>
                      <w:szCs w:val="21"/>
                    </w:rPr>
                    <w:t>《工业企业厂界环境噪声排放标准》（GB12348-2008）中</w:t>
                  </w:r>
                  <w:r>
                    <w:rPr>
                      <w:rFonts w:hint="eastAsia" w:ascii="Times New Roman" w:hAnsi="Times New Roman" w:cs="Times New Roman"/>
                      <w:spacing w:val="0"/>
                      <w:sz w:val="21"/>
                      <w:szCs w:val="21"/>
                      <w:lang w:val="en-US" w:eastAsia="zh-CN"/>
                    </w:rPr>
                    <w:t>3</w:t>
                  </w:r>
                  <w:r>
                    <w:rPr>
                      <w:rFonts w:hint="eastAsia" w:ascii="Times New Roman" w:hAnsi="Times New Roman" w:cs="Times New Roman"/>
                      <w:spacing w:val="0"/>
                      <w:sz w:val="21"/>
                      <w:szCs w:val="21"/>
                    </w:rPr>
                    <w:t>类标准</w:t>
                  </w:r>
                  <w:r>
                    <w:rPr>
                      <w:rFonts w:hint="eastAsia" w:ascii="Times New Roman" w:hAnsi="Times New Roman" w:cs="Times New Roman"/>
                      <w:spacing w:val="0"/>
                      <w:sz w:val="21"/>
                      <w:szCs w:val="21"/>
                      <w:lang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40" w:type="pct"/>
                  <w:vAlign w:val="center"/>
                </w:tcPr>
                <w:p>
                  <w:pPr>
                    <w:jc w:val="center"/>
                    <w:rPr>
                      <w:rFonts w:cs="Times New Roman"/>
                      <w:szCs w:val="21"/>
                    </w:rPr>
                  </w:pPr>
                  <w:r>
                    <w:rPr>
                      <w:rFonts w:cs="Times New Roman"/>
                      <w:szCs w:val="21"/>
                    </w:rPr>
                    <w:t>固废治理</w:t>
                  </w:r>
                </w:p>
              </w:tc>
              <w:tc>
                <w:tcPr>
                  <w:tcW w:w="227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eastAsiaTheme="minorEastAsia"/>
                      <w:szCs w:val="21"/>
                      <w:lang w:eastAsia="zh-CN"/>
                    </w:rPr>
                  </w:pPr>
                  <w:r>
                    <w:rPr>
                      <w:rFonts w:hint="eastAsia" w:cs="Times New Roman" w:eastAsiaTheme="minorEastAsia"/>
                      <w:szCs w:val="21"/>
                      <w:lang w:eastAsia="zh-CN"/>
                    </w:rPr>
                    <w:t>规范废胶桶、废漆桶、废胶渣、废漆渣、</w:t>
                  </w:r>
                  <w:r>
                    <w:rPr>
                      <w:rFonts w:hint="eastAsia" w:cs="Times New Roman"/>
                      <w:szCs w:val="21"/>
                      <w:lang w:eastAsia="zh-CN"/>
                    </w:rPr>
                    <w:t>水帘</w:t>
                  </w:r>
                  <w:r>
                    <w:rPr>
                      <w:rFonts w:hint="eastAsia" w:cs="Times New Roman" w:eastAsiaTheme="minorEastAsia"/>
                      <w:szCs w:val="21"/>
                      <w:lang w:eastAsia="zh-CN"/>
                    </w:rPr>
                    <w:t>废液、</w:t>
                  </w:r>
                  <w:r>
                    <w:rPr>
                      <w:rFonts w:hint="eastAsia" w:cs="Times New Roman"/>
                      <w:szCs w:val="21"/>
                      <w:lang w:eastAsia="zh-CN"/>
                    </w:rPr>
                    <w:t>漆磨粉尘</w:t>
                  </w:r>
                  <w:r>
                    <w:rPr>
                      <w:rFonts w:hint="eastAsia" w:cs="Times New Roman" w:eastAsiaTheme="minorEastAsia"/>
                      <w:szCs w:val="21"/>
                      <w:lang w:eastAsia="zh-CN"/>
                    </w:rPr>
                    <w:t>、废活性炭、废过滤棉等危险废物的收集、暂存、处置和管理</w:t>
                  </w:r>
                  <w:r>
                    <w:rPr>
                      <w:rFonts w:hint="eastAsia" w:cs="Times New Roman"/>
                      <w:szCs w:val="21"/>
                      <w:lang w:eastAsia="zh-CN"/>
                    </w:rPr>
                    <w:t>；</w:t>
                  </w:r>
                  <w:r>
                    <w:rPr>
                      <w:rFonts w:hint="eastAsia" w:cs="Times New Roman" w:eastAsiaTheme="minorEastAsia"/>
                      <w:szCs w:val="21"/>
                      <w:lang w:eastAsia="zh-CN"/>
                    </w:rPr>
                    <w:t>切实做好木质边角料、废包装材料、木屑及粉尘等工业固废的综合利用或规范处置</w:t>
                  </w:r>
                  <w:r>
                    <w:rPr>
                      <w:rFonts w:hint="eastAsia" w:cs="Times New Roman"/>
                      <w:szCs w:val="21"/>
                      <w:lang w:eastAsia="zh-CN"/>
                    </w:rPr>
                    <w:t>；</w:t>
                  </w:r>
                  <w:r>
                    <w:rPr>
                      <w:rFonts w:hint="eastAsia" w:cs="Times New Roman" w:eastAsiaTheme="minorEastAsia"/>
                      <w:szCs w:val="21"/>
                      <w:lang w:eastAsia="zh-CN"/>
                    </w:rPr>
                    <w:t>生活垃圾统一纳入城乡环卫一体化管理，日产日清</w:t>
                  </w:r>
                </w:p>
              </w:tc>
              <w:tc>
                <w:tcPr>
                  <w:tcW w:w="2287" w:type="pct"/>
                  <w:vAlign w:val="center"/>
                </w:tcPr>
                <w:p>
                  <w:pPr>
                    <w:pStyle w:val="31"/>
                    <w:spacing w:line="240" w:lineRule="auto"/>
                    <w:ind w:left="0" w:leftChars="0" w:right="0" w:firstLine="0" w:firstLineChars="0"/>
                    <w:jc w:val="center"/>
                    <w:rPr>
                      <w:rFonts w:ascii="Times New Roman" w:hAnsi="Times New Roman" w:cs="Times New Roman"/>
                      <w:spacing w:val="0"/>
                      <w:sz w:val="21"/>
                      <w:szCs w:val="21"/>
                    </w:rPr>
                  </w:pPr>
                  <w:r>
                    <w:rPr>
                      <w:rFonts w:hint="eastAsia" w:ascii="Times New Roman" w:hAnsi="Times New Roman" w:cs="Times New Roman"/>
                      <w:spacing w:val="0"/>
                      <w:sz w:val="21"/>
                      <w:szCs w:val="21"/>
                      <w:lang w:eastAsia="zh-CN"/>
                    </w:rPr>
                    <w:t>现状固体废物已按照环评要求贮存、处理、处置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40" w:type="pct"/>
                  <w:vAlign w:val="center"/>
                </w:tcPr>
                <w:p>
                  <w:pPr>
                    <w:jc w:val="center"/>
                    <w:rPr>
                      <w:rFonts w:cs="Times New Roman"/>
                      <w:szCs w:val="21"/>
                    </w:rPr>
                  </w:pPr>
                  <w:r>
                    <w:rPr>
                      <w:rFonts w:cs="Times New Roman"/>
                      <w:szCs w:val="21"/>
                    </w:rPr>
                    <w:t>环评总结论</w:t>
                  </w:r>
                </w:p>
              </w:tc>
              <w:tc>
                <w:tcPr>
                  <w:tcW w:w="2272" w:type="pct"/>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ascii="Times New Roman" w:hAnsi="Times New Roman" w:cs="Times New Roman"/>
                      <w:spacing w:val="0"/>
                      <w:sz w:val="21"/>
                      <w:szCs w:val="21"/>
                    </w:rPr>
                  </w:pPr>
                  <w:r>
                    <w:rPr>
                      <w:rFonts w:ascii="Times New Roman" w:hAnsi="Times New Roman" w:cs="Times New Roman"/>
                      <w:spacing w:val="0"/>
                      <w:sz w:val="21"/>
                      <w:szCs w:val="21"/>
                    </w:rPr>
                    <w:t>综上所述，本项目符合国家产业政策要求，项目选址及平面布置合理，建设项目所在地环境现状较好。废水、废气、噪声和固废污染物采取本评价提出的污染防治措施后可达标排放。从环境影响评价的角度来讲</w:t>
                  </w:r>
                  <w:r>
                    <w:rPr>
                      <w:rFonts w:hint="eastAsia" w:ascii="Times New Roman" w:hAnsi="Times New Roman" w:cs="Times New Roman"/>
                      <w:spacing w:val="0"/>
                      <w:sz w:val="21"/>
                      <w:szCs w:val="21"/>
                      <w:lang w:eastAsia="zh-CN"/>
                    </w:rPr>
                    <w:t>，</w:t>
                  </w:r>
                  <w:r>
                    <w:rPr>
                      <w:rFonts w:ascii="Times New Roman" w:hAnsi="Times New Roman" w:cs="Times New Roman"/>
                      <w:spacing w:val="0"/>
                      <w:sz w:val="21"/>
                      <w:szCs w:val="21"/>
                    </w:rPr>
                    <w:t>该项目在坚持“三同时”原则并按照本报告中提出的各项环保措施治理后，项目建设是可行</w:t>
                  </w:r>
                </w:p>
              </w:tc>
              <w:tc>
                <w:tcPr>
                  <w:tcW w:w="2287" w:type="pct"/>
                  <w:vAlign w:val="center"/>
                </w:tcPr>
                <w:p>
                  <w:pPr>
                    <w:pStyle w:val="31"/>
                    <w:spacing w:line="240" w:lineRule="auto"/>
                    <w:ind w:left="0" w:leftChars="0" w:right="0" w:firstLine="0" w:firstLineChars="0"/>
                    <w:jc w:val="center"/>
                    <w:rPr>
                      <w:rFonts w:ascii="Times New Roman" w:hAnsi="Times New Roman" w:cs="Times New Roman"/>
                      <w:spacing w:val="0"/>
                      <w:sz w:val="21"/>
                      <w:szCs w:val="21"/>
                    </w:rPr>
                  </w:pPr>
                  <w:r>
                    <w:rPr>
                      <w:rFonts w:hint="eastAsia" w:ascii="Times New Roman" w:hAnsi="Times New Roman" w:cs="Times New Roman"/>
                      <w:spacing w:val="0"/>
                      <w:sz w:val="21"/>
                      <w:szCs w:val="21"/>
                    </w:rPr>
                    <w:t>/</w:t>
                  </w:r>
                </w:p>
              </w:tc>
            </w:tr>
          </w:tbl>
          <w:p>
            <w:p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2、环境影响报告表审批决定</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安徽泉生楼梯有限公司：</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你公司报来《实木楼梯家具加工项目环境影响报告表》</w:t>
            </w:r>
            <w:r>
              <w:rPr>
                <w:rFonts w:hint="eastAsia"/>
                <w:b w:val="0"/>
                <w:bCs/>
                <w:sz w:val="24"/>
                <w:lang w:eastAsia="zh-CN"/>
              </w:rPr>
              <w:t>（</w:t>
            </w:r>
            <w:r>
              <w:rPr>
                <w:b w:val="0"/>
                <w:bCs/>
                <w:sz w:val="24"/>
              </w:rPr>
              <w:t>以下简称《报告表》</w:t>
            </w:r>
            <w:r>
              <w:rPr>
                <w:rFonts w:hint="eastAsia"/>
                <w:b w:val="0"/>
                <w:bCs/>
                <w:sz w:val="24"/>
                <w:lang w:eastAsia="zh-CN"/>
              </w:rPr>
              <w:t>）</w:t>
            </w:r>
            <w:r>
              <w:rPr>
                <w:b w:val="0"/>
                <w:bCs/>
                <w:sz w:val="24"/>
              </w:rPr>
              <w:t>收悉，经审查，现批复如下：</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b/>
                <w:bCs w:val="0"/>
                <w:sz w:val="24"/>
              </w:rPr>
            </w:pPr>
            <w:r>
              <w:rPr>
                <w:b/>
                <w:bCs w:val="0"/>
                <w:sz w:val="24"/>
              </w:rPr>
              <w:t>一、项目概况及批复意见</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安徽泉生楼梯有限公司实木楼梯家具加工项目位于舒城县棠树乡凌西路，项目总投资500万元，租赁舒城友源电子科技有限公司院内1幢厂房，建筑面积1500平方米。主要生产工艺为：将板材通过下料、刨料、打孔、立铣、仿型、拼装、打磨、贴皮、砂光、喷底漆、自然晾干、喷漆件打磨、喷面漆、烘干、组装、检验入库等工序加工，可实现年加工实木楼梯200套、实木护栏150套、配套家具80套的生产能力。</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项目建设符合国家产业政策、区域环境政策、棠树乡总体规划和棠树工业集中区总体规划及规划环评要求。在全面落实环评文件提出的各项污染防治措施和风险防范措施的前提下，结合专家审查意见，从环境管理角度，原则同意项目按照安徽锦环环境科技有限公司编制的《报告表》及本审批意见要求进行建设。</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b/>
                <w:bCs w:val="0"/>
                <w:sz w:val="24"/>
              </w:rPr>
            </w:pPr>
            <w:r>
              <w:rPr>
                <w:b/>
                <w:bCs w:val="0"/>
                <w:sz w:val="24"/>
              </w:rPr>
              <w:t>二、污染防治措施要求</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b w:val="0"/>
                <w:bCs/>
                <w:sz w:val="24"/>
                <w:lang w:val="en-US" w:eastAsia="zh-CN"/>
              </w:rPr>
            </w:pPr>
            <w:r>
              <w:rPr>
                <w:b w:val="0"/>
                <w:bCs/>
                <w:sz w:val="24"/>
              </w:rPr>
              <w:t>为保护区域环境质量不因本项目建设而降低，项目设计、建设和运行须做到以下要求：</w:t>
            </w:r>
            <w:r>
              <w:rPr>
                <w:rFonts w:hint="eastAsia"/>
                <w:b w:val="0"/>
                <w:bCs/>
                <w:sz w:val="24"/>
                <w:lang w:val="en-US" w:eastAsia="zh-CN"/>
              </w:rPr>
              <w:t xml:space="preserve">          </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720" w:firstLineChars="300"/>
              <w:jc w:val="left"/>
              <w:textAlignment w:val="auto"/>
              <w:rPr>
                <w:b w:val="0"/>
                <w:bCs/>
                <w:sz w:val="24"/>
              </w:rPr>
            </w:pPr>
            <w:r>
              <w:rPr>
                <w:rFonts w:hint="eastAsia"/>
                <w:b w:val="0"/>
                <w:bCs/>
                <w:sz w:val="24"/>
                <w:lang w:val="en-US" w:eastAsia="zh-CN"/>
              </w:rPr>
              <w:t>1、</w:t>
            </w:r>
            <w:r>
              <w:rPr>
                <w:b w:val="0"/>
                <w:bCs/>
                <w:sz w:val="24"/>
              </w:rPr>
              <w:t>切实做好项目废气的有效收集和规范处置。封闭木工工段、调漆室、喷漆室、打磨间、烘干房、晾干房、拼装及贴皮车间，木工粉尘经负压收集+沉降室+脉冲布袋除尘器处理后，通过15米高排气筒排放；建设调漆、喷漆、烘干、晾干整体式封闭生产车间，喷漆废气经水帘+干式过滤棉处理，与调漆、烘干、晾干废气一起再经二级活性炭吸附装置处理后，通过15米高排气筒排放；漆磨粉尘经负压收集+布袋除尘器处理后，通过15米高排气筒排放；胶水废气经负压收集+二级活性炭吸附装置处 理后，通过15米高排气筒排放。确保VOCs、颗粒物排放满足上海市地方标准《大气污染物综合排放标准》(DB31/933-2015) 中的标准要求，厂区内VOCs无组织排放执行《挥发性有机物无组织排放控制标准》(GB37822-2019)中的标准要求。与棠树乡人民政府和县规划部门协调，大气环境防护距离范围内不得建设学校、居民、医院等环境敏感目标和食品生产企业。</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2、严格按照“雨污分流，一口对外”的标准要求，规范雨、污管网建设。近期，生活废水经化粪池充分预处理后，合理综合利用，不外排。远期，待棠树乡三拐污水处理厂建设完成且污水管网延伸至本项目附近，生活废水经充分预处理，达到《污水综合排放标准》(GB8978-1996)三级标准和棠树乡三拐污水处理厂接管标准后，排入棠树乡三拐污水处理厂深度处理，达标排放。水帘废水经一体化处理设备处理，上清液回用于水帘柜循环使用，不外排。</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3、规范废胶桶、废漆桶、废活性炭、废过滤棉、除尘器收集的漆磨粉尘、漆渣、废胶渣等危险废物的收集、暂存、处置和管理；切实做好木质边角料、废包装材料、木屑及粉尘等工业固废的综合利用或规范处置；生活垃圾统一纳入城乡环卫一体化管理，日产日清。</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4、切实做好推台锯、数控机床、风机等噪声源强的减振、降噪及其生产车间封闭，强化企业内部环境管理，规范操作行为，确保厂界环境噪声达到《工业企业厂界环境噪声排放标准》</w:t>
            </w:r>
            <w:r>
              <w:rPr>
                <w:rFonts w:hint="eastAsia"/>
                <w:b w:val="0"/>
                <w:bCs/>
                <w:sz w:val="24"/>
                <w:lang w:eastAsia="zh-CN"/>
              </w:rPr>
              <w:t>（</w:t>
            </w:r>
            <w:r>
              <w:rPr>
                <w:b w:val="0"/>
                <w:bCs/>
                <w:sz w:val="24"/>
              </w:rPr>
              <w:t>GB12348-2008</w:t>
            </w:r>
            <w:r>
              <w:rPr>
                <w:rFonts w:hint="eastAsia"/>
                <w:b w:val="0"/>
                <w:bCs/>
                <w:sz w:val="24"/>
                <w:lang w:eastAsia="zh-CN"/>
              </w:rPr>
              <w:t>）</w:t>
            </w:r>
            <w:r>
              <w:rPr>
                <w:b w:val="0"/>
                <w:bCs/>
                <w:sz w:val="24"/>
              </w:rPr>
              <w:t>中3类标准，敏感点执行2类标准。</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5、项目单位须严格按照六安市生态环境局批复的烟</w:t>
            </w:r>
            <w:r>
              <w:rPr>
                <w:rFonts w:hint="eastAsia"/>
                <w:b w:val="0"/>
                <w:bCs/>
                <w:sz w:val="24"/>
                <w:lang w:eastAsia="zh-CN"/>
              </w:rPr>
              <w:t>（</w:t>
            </w:r>
            <w:r>
              <w:rPr>
                <w:b w:val="0"/>
                <w:bCs/>
                <w:sz w:val="24"/>
              </w:rPr>
              <w:t>粉</w:t>
            </w:r>
            <w:r>
              <w:rPr>
                <w:rFonts w:hint="eastAsia"/>
                <w:b w:val="0"/>
                <w:bCs/>
                <w:sz w:val="24"/>
                <w:lang w:eastAsia="zh-CN"/>
              </w:rPr>
              <w:t>）</w:t>
            </w:r>
            <w:r>
              <w:rPr>
                <w:b w:val="0"/>
                <w:bCs/>
                <w:sz w:val="24"/>
              </w:rPr>
              <w:t>尘：0.787吨/年、VOCs</w:t>
            </w:r>
            <w:r>
              <w:rPr>
                <w:rFonts w:hint="eastAsia"/>
                <w:b w:val="0"/>
                <w:bCs/>
                <w:sz w:val="24"/>
                <w:lang w:eastAsia="zh-CN"/>
              </w:rPr>
              <w:t>：</w:t>
            </w:r>
            <w:r>
              <w:rPr>
                <w:b w:val="0"/>
                <w:bCs/>
                <w:sz w:val="24"/>
              </w:rPr>
              <w:t>0.202吨/年总量指标要求组织生产、治污，不得以任何理由超总量排污。</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b/>
                <w:bCs w:val="0"/>
                <w:sz w:val="24"/>
              </w:rPr>
            </w:pPr>
            <w:r>
              <w:rPr>
                <w:b/>
                <w:bCs w:val="0"/>
                <w:sz w:val="24"/>
              </w:rPr>
              <w:t>三、环境管理要求</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1、项目建设过程中应严格执行环境保护“三同时”制度，依据《固定污染源排污许可分类管理名录》和《排污许可证申请与核发技术规范》要求，办理排污许可证</w:t>
            </w:r>
            <w:r>
              <w:rPr>
                <w:rFonts w:hint="eastAsia"/>
                <w:b w:val="0"/>
                <w:bCs/>
                <w:sz w:val="24"/>
                <w:lang w:eastAsia="zh-CN"/>
              </w:rPr>
              <w:t>（</w:t>
            </w:r>
            <w:r>
              <w:rPr>
                <w:b w:val="0"/>
                <w:bCs/>
                <w:sz w:val="24"/>
              </w:rPr>
              <w:t>含简化、登记</w:t>
            </w:r>
            <w:r>
              <w:rPr>
                <w:rFonts w:hint="eastAsia"/>
                <w:b w:val="0"/>
                <w:bCs/>
                <w:sz w:val="24"/>
                <w:lang w:eastAsia="zh-CN"/>
              </w:rPr>
              <w:t>），</w:t>
            </w:r>
            <w:r>
              <w:rPr>
                <w:b w:val="0"/>
                <w:bCs/>
                <w:sz w:val="24"/>
              </w:rPr>
              <w:t>不得无证排污。项目竣工试运行和污染治理设施同步投入运转正常后，建设单位应当按照《建设项目竣工环境保护验收暂行办法》</w:t>
            </w:r>
            <w:r>
              <w:rPr>
                <w:rFonts w:hint="eastAsia"/>
                <w:b w:val="0"/>
                <w:bCs/>
                <w:sz w:val="24"/>
                <w:lang w:eastAsia="zh-CN"/>
              </w:rPr>
              <w:t>，</w:t>
            </w:r>
            <w:r>
              <w:rPr>
                <w:b w:val="0"/>
                <w:bCs/>
                <w:sz w:val="24"/>
              </w:rPr>
              <w:t>对配套建设的环境保护设施进行验收</w:t>
            </w:r>
            <w:r>
              <w:rPr>
                <w:rFonts w:hint="eastAsia"/>
                <w:b w:val="0"/>
                <w:bCs/>
                <w:sz w:val="24"/>
                <w:lang w:eastAsia="zh-CN"/>
              </w:rPr>
              <w:t>，</w:t>
            </w:r>
            <w:r>
              <w:rPr>
                <w:b w:val="0"/>
                <w:bCs/>
                <w:sz w:val="24"/>
              </w:rPr>
              <w:t>经验收合格后，项目方可正式投入生产或者使用。</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2、按照安徽省生态环境厅《关于进一步做好排污单位自行监测和监督性监测工作及信息公开的通知》</w:t>
            </w:r>
            <w:r>
              <w:rPr>
                <w:rFonts w:hint="eastAsia"/>
                <w:b w:val="0"/>
                <w:bCs/>
                <w:sz w:val="24"/>
                <w:lang w:eastAsia="zh-CN"/>
              </w:rPr>
              <w:t>（</w:t>
            </w:r>
            <w:r>
              <w:rPr>
                <w:b w:val="0"/>
                <w:bCs/>
                <w:sz w:val="24"/>
              </w:rPr>
              <w:t>皖环函〔2019〕805号</w:t>
            </w:r>
            <w:r>
              <w:rPr>
                <w:rFonts w:hint="eastAsia"/>
                <w:b w:val="0"/>
                <w:bCs/>
                <w:sz w:val="24"/>
                <w:lang w:eastAsia="zh-CN"/>
              </w:rPr>
              <w:t>）</w:t>
            </w:r>
            <w:r>
              <w:rPr>
                <w:b w:val="0"/>
                <w:bCs/>
                <w:sz w:val="24"/>
              </w:rPr>
              <w:t>文件和《排污单位自行监测技术指南》监测技术规范要求，开展自行监测工作。</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3、在项目建设运营过程中，建设单位须自觉接受我局的日常监督管理，进一步规范企业内部环境管理。</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textAlignment w:val="auto"/>
              <w:rPr>
                <w:b/>
                <w:bCs w:val="0"/>
                <w:sz w:val="24"/>
              </w:rPr>
            </w:pPr>
            <w:r>
              <w:rPr>
                <w:b/>
                <w:bCs w:val="0"/>
                <w:sz w:val="24"/>
              </w:rPr>
              <w:t>四、事中事后监管</w:t>
            </w:r>
          </w:p>
          <w:p>
            <w:pPr>
              <w:pStyle w:val="1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b w:val="0"/>
                <w:bCs/>
                <w:sz w:val="24"/>
              </w:rPr>
            </w:pPr>
            <w:r>
              <w:rPr>
                <w:b w:val="0"/>
                <w:bCs/>
                <w:sz w:val="24"/>
              </w:rPr>
              <w:t>舒城县棠树乡人民政府负责对该项目实施属地管理，县生态环境保护综合行政执法大队、县生态环境监测站分别负责日常环境监察和监督性监测等工作。</w:t>
            </w:r>
          </w:p>
          <w:p>
            <w:pPr>
              <w:pStyle w:val="13"/>
              <w:rPr>
                <w:b w:val="0"/>
                <w:bCs/>
                <w:sz w:val="24"/>
              </w:rPr>
            </w:pPr>
          </w:p>
          <w:p>
            <w:pPr>
              <w:rPr>
                <w:b w:val="0"/>
                <w:bCs/>
                <w:sz w:val="24"/>
              </w:rPr>
            </w:pPr>
          </w:p>
          <w:p>
            <w:pPr>
              <w:pStyle w:val="13"/>
            </w:pPr>
          </w:p>
          <w:p>
            <w:pPr>
              <w:spacing w:line="360" w:lineRule="auto"/>
              <w:rPr>
                <w:b/>
                <w:sz w:val="24"/>
              </w:rPr>
            </w:pPr>
          </w:p>
        </w:tc>
      </w:tr>
    </w:tbl>
    <w:p>
      <w:pPr>
        <w:spacing w:line="360" w:lineRule="auto"/>
        <w:jc w:val="left"/>
        <w:rPr>
          <w:rFonts w:hint="eastAsia"/>
          <w:b/>
          <w:sz w:val="28"/>
          <w:szCs w:val="28"/>
        </w:rPr>
      </w:pPr>
    </w:p>
    <w:p>
      <w:pPr>
        <w:spacing w:line="360" w:lineRule="auto"/>
        <w:jc w:val="left"/>
        <w:rPr>
          <w:b/>
          <w:sz w:val="28"/>
          <w:szCs w:val="28"/>
        </w:rPr>
      </w:pPr>
      <w:r>
        <w:rPr>
          <w:rFonts w:hint="eastAsia"/>
          <w:b/>
          <w:sz w:val="28"/>
          <w:szCs w:val="28"/>
        </w:rPr>
        <w:t xml:space="preserve">表五 </w:t>
      </w:r>
    </w:p>
    <w:tbl>
      <w:tblPr>
        <w:tblStyle w:val="21"/>
        <w:tblW w:w="9433" w:type="dxa"/>
        <w:tblInd w:w="-4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4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1" w:hRule="atLeast"/>
        </w:trPr>
        <w:tc>
          <w:tcPr>
            <w:tcW w:w="9433" w:type="dxa"/>
          </w:tcPr>
          <w:p>
            <w:pPr>
              <w:spacing w:line="360" w:lineRule="auto"/>
              <w:rPr>
                <w:rFonts w:hAnsi="宋体"/>
                <w:b/>
                <w:bCs/>
                <w:kern w:val="0"/>
                <w:sz w:val="24"/>
              </w:rPr>
            </w:pPr>
            <w:r>
              <w:rPr>
                <w:rFonts w:hint="eastAsia" w:hAnsi="宋体"/>
                <w:b/>
                <w:bCs/>
                <w:kern w:val="0"/>
                <w:sz w:val="24"/>
              </w:rPr>
              <w:t>验收监测质量保证及质量控制：</w:t>
            </w:r>
          </w:p>
          <w:p>
            <w:pPr>
              <w:spacing w:line="360" w:lineRule="auto"/>
              <w:ind w:firstLine="482" w:firstLineChars="200"/>
              <w:rPr>
                <w:b/>
                <w:sz w:val="24"/>
              </w:rPr>
            </w:pPr>
            <w:r>
              <w:rPr>
                <w:rFonts w:hint="eastAsia" w:hAnsi="宋体"/>
                <w:b/>
                <w:bCs/>
                <w:kern w:val="0"/>
                <w:sz w:val="24"/>
              </w:rPr>
              <w:t>1、监测分析过程中的质量保证和质量控制</w:t>
            </w:r>
          </w:p>
          <w:p>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rPr>
              <w:t>、《固定污染源监测技术规范》（</w:t>
            </w:r>
            <w:r>
              <w:rPr>
                <w:color w:val="000000"/>
                <w:kern w:val="0"/>
                <w:sz w:val="24"/>
              </w:rPr>
              <w:t>HJ/T 397-2007</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pPr>
              <w:spacing w:line="360" w:lineRule="auto"/>
              <w:ind w:firstLine="480" w:firstLineChars="200"/>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pPr>
              <w:spacing w:line="360" w:lineRule="auto"/>
              <w:ind w:firstLine="480" w:firstLineChars="200"/>
              <w:rPr>
                <w:sz w:val="24"/>
              </w:rPr>
            </w:pPr>
            <w:r>
              <w:rPr>
                <w:rFonts w:hint="eastAsia" w:hAnsi="宋体"/>
                <w:sz w:val="24"/>
              </w:rPr>
              <w:t>（</w:t>
            </w:r>
            <w:r>
              <w:rPr>
                <w:sz w:val="24"/>
              </w:rPr>
              <w:t>7</w:t>
            </w:r>
            <w:r>
              <w:rPr>
                <w:rFonts w:hint="eastAsia" w:hAnsi="宋体"/>
                <w:sz w:val="24"/>
              </w:rPr>
              <w:t>）样品的采集、运输均按相关的技术规范要求进行。</w:t>
            </w:r>
          </w:p>
          <w:p>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pPr>
              <w:spacing w:line="360" w:lineRule="auto"/>
              <w:ind w:firstLine="480" w:firstLineChars="200"/>
            </w:pPr>
            <w:r>
              <w:rPr>
                <w:rFonts w:hint="eastAsia" w:hAnsi="宋体"/>
                <w:bCs/>
                <w:sz w:val="24"/>
              </w:rPr>
              <w:t>用空白值、标准曲线的相关、截距、斜率评价实验过程的一致性。</w:t>
            </w:r>
            <w:bookmarkStart w:id="8" w:name="_Toc6074"/>
            <w:bookmarkStart w:id="9" w:name="_Toc513795210"/>
            <w:bookmarkStart w:id="10" w:name="_Toc512519570"/>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rFonts w:hint="eastAsia"/>
                <w:color w:val="262626" w:themeColor="text1" w:themeTint="D9"/>
                <w14:textFill>
                  <w14:solidFill>
                    <w14:schemeClr w14:val="tx1">
                      <w14:lumMod w14:val="85000"/>
                      <w14:lumOff w14:val="15000"/>
                    </w14:schemeClr>
                  </w14:solidFill>
                </w14:textFill>
              </w:rPr>
            </w:pPr>
          </w:p>
          <w:p>
            <w:pPr>
              <w:pStyle w:val="28"/>
              <w:rPr>
                <w:b w:val="0"/>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2、</w:t>
            </w:r>
            <w:r>
              <w:rPr>
                <w:rFonts w:hint="eastAsia" w:hAnsi="宋体"/>
                <w:color w:val="262626" w:themeColor="text1" w:themeTint="D9"/>
                <w14:textFill>
                  <w14:solidFill>
                    <w14:schemeClr w14:val="tx1">
                      <w14:lumMod w14:val="85000"/>
                      <w14:lumOff w14:val="15000"/>
                    </w14:schemeClr>
                  </w14:solidFill>
                </w14:textFill>
              </w:rPr>
              <w:t>监测分析方法</w:t>
            </w:r>
            <w:bookmarkEnd w:id="8"/>
            <w:bookmarkEnd w:id="9"/>
            <w:bookmarkEnd w:id="10"/>
          </w:p>
          <w:p>
            <w:pPr>
              <w:jc w:val="center"/>
              <w:rPr>
                <w:b/>
                <w:color w:val="262626" w:themeColor="text1" w:themeTint="D9"/>
                <w:sz w:val="24"/>
                <w14:textFill>
                  <w14:solidFill>
                    <w14:schemeClr w14:val="tx1">
                      <w14:lumMod w14:val="85000"/>
                      <w14:lumOff w14:val="15000"/>
                    </w14:schemeClr>
                  </w14:solidFill>
                </w14:textFill>
              </w:rPr>
            </w:pPr>
            <w:bookmarkStart w:id="11" w:name="_Toc25009"/>
            <w:r>
              <w:rPr>
                <w:rFonts w:hint="eastAsia" w:hAnsi="宋体"/>
                <w:b/>
                <w:color w:val="262626" w:themeColor="text1" w:themeTint="D9"/>
                <w:sz w:val="24"/>
                <w14:textFill>
                  <w14:solidFill>
                    <w14:schemeClr w14:val="tx1">
                      <w14:lumMod w14:val="85000"/>
                      <w14:lumOff w14:val="15000"/>
                    </w14:schemeClr>
                  </w14:solidFill>
                </w14:textFill>
              </w:rPr>
              <w:t>表</w:t>
            </w:r>
            <w:r>
              <w:rPr>
                <w:rFonts w:hint="eastAsia"/>
                <w:b/>
                <w:color w:val="262626" w:themeColor="text1" w:themeTint="D9"/>
                <w:sz w:val="24"/>
                <w14:textFill>
                  <w14:solidFill>
                    <w14:schemeClr w14:val="tx1">
                      <w14:lumMod w14:val="85000"/>
                      <w14:lumOff w14:val="15000"/>
                    </w14:schemeClr>
                  </w14:solidFill>
                </w14:textFill>
              </w:rPr>
              <w:t>5.1</w:t>
            </w:r>
            <w:r>
              <w:rPr>
                <w:b/>
                <w:color w:val="262626" w:themeColor="text1" w:themeTint="D9"/>
                <w:sz w:val="24"/>
                <w14:textFill>
                  <w14:solidFill>
                    <w14:schemeClr w14:val="tx1">
                      <w14:lumMod w14:val="85000"/>
                      <w14:lumOff w14:val="15000"/>
                    </w14:schemeClr>
                  </w14:solidFill>
                </w14:textFill>
              </w:rPr>
              <w:t xml:space="preserve"> </w:t>
            </w:r>
            <w:r>
              <w:rPr>
                <w:rFonts w:hint="eastAsia" w:hAnsi="宋体"/>
                <w:b/>
                <w:color w:val="262626" w:themeColor="text1" w:themeTint="D9"/>
                <w:sz w:val="24"/>
                <w14:textFill>
                  <w14:solidFill>
                    <w14:schemeClr w14:val="tx1">
                      <w14:lumMod w14:val="85000"/>
                      <w14:lumOff w14:val="15000"/>
                    </w14:schemeClr>
                  </w14:solidFill>
                </w14:textFill>
              </w:rPr>
              <w:t>监测分析方法一览表</w:t>
            </w:r>
            <w:bookmarkEnd w:id="11"/>
          </w:p>
          <w:tbl>
            <w:tblPr>
              <w:tblStyle w:val="21"/>
              <w:tblW w:w="0" w:type="auto"/>
              <w:jc w:val="center"/>
              <w:tblLayout w:type="autofit"/>
              <w:tblCellMar>
                <w:top w:w="0" w:type="dxa"/>
                <w:left w:w="10" w:type="dxa"/>
                <w:bottom w:w="0" w:type="dxa"/>
                <w:right w:w="10" w:type="dxa"/>
              </w:tblCellMar>
            </w:tblPr>
            <w:tblGrid>
              <w:gridCol w:w="402"/>
              <w:gridCol w:w="1763"/>
              <w:gridCol w:w="5829"/>
              <w:gridCol w:w="1223"/>
            </w:tblGrid>
            <w:tr>
              <w:tblPrEx>
                <w:tblCellMar>
                  <w:top w:w="0" w:type="dxa"/>
                  <w:left w:w="10" w:type="dxa"/>
                  <w:bottom w:w="0" w:type="dxa"/>
                  <w:right w:w="10" w:type="dxa"/>
                </w:tblCellMar>
              </w:tblPrEx>
              <w:trPr>
                <w:trHeight w:val="606" w:hRule="exact"/>
                <w:jc w:val="center"/>
              </w:trPr>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b/>
                      <w:bCs/>
                      <w:color w:val="000000"/>
                      <w:spacing w:val="0"/>
                      <w:w w:val="100"/>
                      <w:position w:val="0"/>
                      <w:sz w:val="21"/>
                      <w:szCs w:val="21"/>
                      <w:lang w:val="zh-TW" w:eastAsia="zh-TW" w:bidi="zh-TW"/>
                    </w:rPr>
                    <w:t>类别</w:t>
                  </w: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b/>
                      <w:bCs/>
                      <w:color w:val="000000"/>
                      <w:spacing w:val="0"/>
                      <w:w w:val="100"/>
                      <w:position w:val="0"/>
                      <w:sz w:val="21"/>
                      <w:szCs w:val="21"/>
                      <w:lang w:val="zh-TW" w:eastAsia="zh-TW" w:bidi="zh-TW"/>
                    </w:rPr>
                    <w:t>检测指标</w:t>
                  </w: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b/>
                      <w:bCs/>
                      <w:color w:val="000000"/>
                      <w:spacing w:val="0"/>
                      <w:w w:val="100"/>
                      <w:position w:val="0"/>
                      <w:sz w:val="21"/>
                      <w:szCs w:val="21"/>
                      <w:lang w:val="zh-TW" w:eastAsia="zh-TW" w:bidi="zh-TW"/>
                    </w:rPr>
                    <w:t>检测方法</w:t>
                  </w:r>
                </w:p>
              </w:tc>
              <w:tc>
                <w:tcPr>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b/>
                      <w:bCs/>
                      <w:color w:val="000000"/>
                      <w:spacing w:val="0"/>
                      <w:w w:val="100"/>
                      <w:position w:val="0"/>
                      <w:sz w:val="21"/>
                      <w:szCs w:val="21"/>
                      <w:lang w:val="zh-TW" w:eastAsia="zh-TW" w:bidi="zh-TW"/>
                    </w:rPr>
                    <w:t>方法检出限</w:t>
                  </w:r>
                </w:p>
              </w:tc>
            </w:tr>
            <w:tr>
              <w:tblPrEx>
                <w:tblCellMar>
                  <w:top w:w="0" w:type="dxa"/>
                  <w:left w:w="10" w:type="dxa"/>
                  <w:bottom w:w="0" w:type="dxa"/>
                  <w:right w:w="10" w:type="dxa"/>
                </w:tblCellMar>
              </w:tblPrEx>
              <w:trPr>
                <w:trHeight w:val="634" w:hRule="exact"/>
                <w:jc w:val="center"/>
              </w:trPr>
              <w:tc>
                <w:tcPr>
                  <w:vMerge w:val="restar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废气</w:t>
                  </w:r>
                </w:p>
              </w:tc>
              <w:tc>
                <w:tcPr>
                  <w:vMerge w:val="restar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颗粒物</w:t>
                  </w: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固定污染源排气中颗粒物测定与气态污染物采样方法</w:t>
                  </w:r>
                  <w:r>
                    <w:rPr>
                      <w:rFonts w:ascii="Times New Roman" w:hAnsi="Times New Roman" w:eastAsia="Times New Roman" w:cs="Times New Roman"/>
                      <w:color w:val="000000"/>
                      <w:spacing w:val="0"/>
                      <w:w w:val="100"/>
                      <w:position w:val="0"/>
                      <w:sz w:val="21"/>
                      <w:szCs w:val="21"/>
                      <w:lang w:val="en-US" w:eastAsia="en-US" w:bidi="en-US"/>
                    </w:rPr>
                    <w:t>GB/T16157-1996</w:t>
                  </w:r>
                </w:p>
              </w:tc>
              <w:tc>
                <w:tcPr>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638"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sz w:val="21"/>
                      <w:szCs w:val="21"/>
                    </w:rPr>
                  </w:pPr>
                </w:p>
              </w:tc>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sz w:val="21"/>
                      <w:szCs w:val="21"/>
                    </w:rPr>
                  </w:pP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环境空气总悬浮颗粒物的测定重量法</w:t>
                  </w:r>
                </w:p>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GB/T15432-1995</w:t>
                  </w:r>
                </w:p>
              </w:tc>
              <w:tc>
                <w:tcPr>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0.001mg/m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r>
            <w:tr>
              <w:tblPrEx>
                <w:tblCellMar>
                  <w:top w:w="0" w:type="dxa"/>
                  <w:left w:w="10" w:type="dxa"/>
                  <w:bottom w:w="0" w:type="dxa"/>
                  <w:right w:w="10" w:type="dxa"/>
                </w:tblCellMar>
              </w:tblPrEx>
              <w:trPr>
                <w:trHeight w:val="629"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sz w:val="21"/>
                      <w:szCs w:val="21"/>
                    </w:rPr>
                  </w:pPr>
                </w:p>
              </w:tc>
              <w:tc>
                <w:tcPr>
                  <w:vMerge w:val="restar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eastAsia" w:eastAsiaTheme="minorEastAsia"/>
                      <w:sz w:val="21"/>
                      <w:szCs w:val="21"/>
                      <w:lang w:eastAsia="zh-CN"/>
                    </w:rPr>
                  </w:pPr>
                  <w:r>
                    <w:rPr>
                      <w:rFonts w:hint="eastAsia" w:ascii="宋体" w:hAnsi="宋体" w:eastAsia="宋体" w:cs="宋体"/>
                      <w:color w:val="000000"/>
                      <w:spacing w:val="0"/>
                      <w:w w:val="100"/>
                      <w:position w:val="0"/>
                      <w:sz w:val="21"/>
                      <w:szCs w:val="21"/>
                      <w:lang w:val="zh-TW" w:eastAsia="zh-CN" w:bidi="zh-TW"/>
                    </w:rPr>
                    <w:t>非甲烷总烃</w:t>
                  </w: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ascii="宋体" w:hAnsi="宋体" w:eastAsia="宋体" w:cs="宋体"/>
                      <w:color w:val="000000"/>
                      <w:spacing w:val="0"/>
                      <w:w w:val="100"/>
                      <w:position w:val="0"/>
                      <w:sz w:val="21"/>
                      <w:szCs w:val="21"/>
                      <w:lang w:val="zh-TW" w:eastAsia="zh-TW" w:bidi="zh-TW"/>
                    </w:rPr>
                  </w:pPr>
                  <w:r>
                    <w:rPr>
                      <w:rFonts w:ascii="宋体" w:hAnsi="宋体" w:eastAsia="宋体" w:cs="宋体"/>
                      <w:color w:val="000000"/>
                      <w:spacing w:val="0"/>
                      <w:w w:val="100"/>
                      <w:position w:val="0"/>
                      <w:sz w:val="21"/>
                      <w:szCs w:val="21"/>
                      <w:lang w:val="zh-TW" w:eastAsia="zh-TW" w:bidi="zh-TW"/>
                    </w:rPr>
                    <w:t>固定污染源废气甲烷和非甲烷总煙的测定气相色谱法</w:t>
                  </w:r>
                </w:p>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HJ 38-2017</w:t>
                  </w:r>
                </w:p>
              </w:tc>
              <w:tc>
                <w:tcPr>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0.07mg/m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r>
            <w:tr>
              <w:tblPrEx>
                <w:tblCellMar>
                  <w:top w:w="0" w:type="dxa"/>
                  <w:left w:w="10" w:type="dxa"/>
                  <w:bottom w:w="0" w:type="dxa"/>
                  <w:right w:w="10" w:type="dxa"/>
                </w:tblCellMar>
              </w:tblPrEx>
              <w:trPr>
                <w:trHeight w:val="638"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sz w:val="21"/>
                      <w:szCs w:val="21"/>
                    </w:rPr>
                  </w:pPr>
                </w:p>
              </w:tc>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sz w:val="21"/>
                      <w:szCs w:val="21"/>
                    </w:rPr>
                  </w:pP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环境空气总</w:t>
                  </w:r>
                  <w:r>
                    <w:rPr>
                      <w:rFonts w:hint="eastAsia" w:ascii="宋体" w:hAnsi="宋体" w:eastAsia="宋体" w:cs="宋体"/>
                      <w:color w:val="000000"/>
                      <w:spacing w:val="0"/>
                      <w:w w:val="100"/>
                      <w:position w:val="0"/>
                      <w:sz w:val="21"/>
                      <w:szCs w:val="21"/>
                      <w:lang w:val="zh-TW" w:eastAsia="zh-CN" w:bidi="zh-TW"/>
                    </w:rPr>
                    <w:t>烃</w:t>
                  </w:r>
                  <w:r>
                    <w:rPr>
                      <w:rFonts w:ascii="宋体" w:hAnsi="宋体" w:eastAsia="宋体" w:cs="宋体"/>
                      <w:color w:val="000000"/>
                      <w:spacing w:val="0"/>
                      <w:w w:val="100"/>
                      <w:position w:val="0"/>
                      <w:sz w:val="21"/>
                      <w:szCs w:val="21"/>
                      <w:lang w:val="zh-TW" w:eastAsia="zh-TW" w:bidi="zh-TW"/>
                    </w:rPr>
                    <w:t>、甲烷和非甲烷总</w:t>
                  </w:r>
                  <w:r>
                    <w:rPr>
                      <w:rFonts w:hint="eastAsia" w:ascii="宋体" w:hAnsi="宋体" w:eastAsia="宋体" w:cs="宋体"/>
                      <w:color w:val="000000"/>
                      <w:spacing w:val="0"/>
                      <w:w w:val="100"/>
                      <w:position w:val="0"/>
                      <w:sz w:val="21"/>
                      <w:szCs w:val="21"/>
                      <w:lang w:val="zh-TW" w:eastAsia="zh-CN" w:bidi="zh-TW"/>
                    </w:rPr>
                    <w:t>烃</w:t>
                  </w:r>
                  <w:r>
                    <w:rPr>
                      <w:rFonts w:ascii="宋体" w:hAnsi="宋体" w:eastAsia="宋体" w:cs="宋体"/>
                      <w:color w:val="000000"/>
                      <w:spacing w:val="0"/>
                      <w:w w:val="100"/>
                      <w:position w:val="0"/>
                      <w:sz w:val="21"/>
                      <w:szCs w:val="21"/>
                      <w:lang w:val="zh-TW" w:eastAsia="zh-TW" w:bidi="zh-TW"/>
                    </w:rPr>
                    <w:t>的测定直接进样气相色谱法</w:t>
                  </w:r>
                  <w:r>
                    <w:rPr>
                      <w:rFonts w:ascii="Times New Roman" w:hAnsi="Times New Roman" w:eastAsia="Times New Roman" w:cs="Times New Roman"/>
                      <w:color w:val="000000"/>
                      <w:spacing w:val="0"/>
                      <w:w w:val="100"/>
                      <w:position w:val="0"/>
                      <w:sz w:val="21"/>
                      <w:szCs w:val="21"/>
                      <w:lang w:val="en-US" w:eastAsia="en-US" w:bidi="en-US"/>
                    </w:rPr>
                    <w:t>HJ 604-2017</w:t>
                  </w:r>
                </w:p>
              </w:tc>
              <w:tc>
                <w:tcPr>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0.07mg/m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r>
            <w:tr>
              <w:tblPrEx>
                <w:tblCellMar>
                  <w:top w:w="0" w:type="dxa"/>
                  <w:left w:w="10" w:type="dxa"/>
                  <w:bottom w:w="0" w:type="dxa"/>
                  <w:right w:w="10" w:type="dxa"/>
                </w:tblCellMar>
              </w:tblPrEx>
              <w:trPr>
                <w:trHeight w:val="634"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sz w:val="21"/>
                      <w:szCs w:val="21"/>
                    </w:rPr>
                  </w:pP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二甲苯</w:t>
                  </w:r>
                </w:p>
              </w:tc>
              <w:tc>
                <w:tcPr>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环境空气苯系物的测定活性炭吸附/二硫化碳解析气相色谱法</w:t>
                  </w:r>
                  <w:r>
                    <w:rPr>
                      <w:rFonts w:ascii="Times New Roman" w:hAnsi="Times New Roman" w:eastAsia="Times New Roman" w:cs="Times New Roman"/>
                      <w:color w:val="000000"/>
                      <w:spacing w:val="0"/>
                      <w:w w:val="100"/>
                      <w:position w:val="0"/>
                      <w:sz w:val="21"/>
                      <w:szCs w:val="21"/>
                      <w:lang w:val="en-US" w:eastAsia="en-US" w:bidi="en-US"/>
                    </w:rPr>
                    <w:t>HJ 584-2010</w:t>
                  </w:r>
                </w:p>
              </w:tc>
              <w:tc>
                <w:tcPr>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1.5xl0</w:t>
                  </w:r>
                  <w:r>
                    <w:rPr>
                      <w:rFonts w:hint="eastAsia" w:ascii="Times New Roman" w:hAnsi="Times New Roman" w:eastAsia="宋体" w:cs="Times New Roman"/>
                      <w:color w:val="000000"/>
                      <w:spacing w:val="0"/>
                      <w:w w:val="100"/>
                      <w:position w:val="0"/>
                      <w:sz w:val="21"/>
                      <w:szCs w:val="21"/>
                      <w:vertAlign w:val="superscript"/>
                      <w:lang w:val="en-US" w:eastAsia="zh-CN" w:bidi="en-US"/>
                    </w:rPr>
                    <w:t>-</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r>
            <w:tr>
              <w:tblPrEx>
                <w:tblCellMar>
                  <w:top w:w="0" w:type="dxa"/>
                  <w:left w:w="10" w:type="dxa"/>
                  <w:bottom w:w="0" w:type="dxa"/>
                  <w:right w:w="10" w:type="dxa"/>
                </w:tblCellMar>
              </w:tblPrEx>
              <w:trPr>
                <w:trHeight w:val="662" w:hRule="exact"/>
                <w:jc w:val="center"/>
              </w:trPr>
              <w:tc>
                <w:tcPr>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噪声</w:t>
                  </w:r>
                </w:p>
              </w:tc>
              <w:tc>
                <w:tcPr>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工业企业厂界环境噪声</w:t>
                  </w:r>
                </w:p>
              </w:tc>
              <w:tc>
                <w:tcPr>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工业企业厂界环境噪声排放标准</w:t>
                  </w:r>
                  <w:r>
                    <w:rPr>
                      <w:rFonts w:ascii="Times New Roman" w:hAnsi="Times New Roman" w:eastAsia="Times New Roman" w:cs="Times New Roman"/>
                      <w:color w:val="000000"/>
                      <w:spacing w:val="0"/>
                      <w:w w:val="100"/>
                      <w:position w:val="0"/>
                      <w:sz w:val="21"/>
                      <w:szCs w:val="21"/>
                      <w:lang w:val="en-US" w:eastAsia="en-US" w:bidi="en-US"/>
                    </w:rPr>
                    <w:t>GB 12348-2008</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w:t>
                  </w:r>
                </w:p>
              </w:tc>
            </w:tr>
          </w:tbl>
          <w:p>
            <w:pPr>
              <w:spacing w:line="360" w:lineRule="auto"/>
              <w:jc w:val="left"/>
              <w:rPr>
                <w:b/>
                <w:color w:val="262626" w:themeColor="text1" w:themeTint="D9"/>
                <w:sz w:val="24"/>
                <w14:textFill>
                  <w14:solidFill>
                    <w14:schemeClr w14:val="tx1">
                      <w14:lumMod w14:val="85000"/>
                      <w14:lumOff w14:val="15000"/>
                    </w14:schemeClr>
                  </w14:solidFill>
                </w14:textFill>
              </w:rPr>
            </w:pPr>
          </w:p>
          <w:p>
            <w:pPr>
              <w:spacing w:line="360" w:lineRule="auto"/>
              <w:jc w:val="left"/>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rPr>
                <w:b/>
                <w:sz w:val="24"/>
              </w:rPr>
            </w:pPr>
          </w:p>
          <w:p>
            <w:pPr>
              <w:pStyle w:val="13"/>
              <w:rPr>
                <w:b/>
                <w:sz w:val="24"/>
              </w:rPr>
            </w:pPr>
          </w:p>
          <w:p>
            <w:pPr>
              <w:rPr>
                <w:b/>
                <w:sz w:val="24"/>
              </w:rPr>
            </w:pPr>
          </w:p>
          <w:p>
            <w:pPr>
              <w:pStyle w:val="13"/>
            </w:pPr>
          </w:p>
          <w:p>
            <w:pPr>
              <w:pStyle w:val="13"/>
              <w:rPr>
                <w:b/>
                <w:sz w:val="24"/>
              </w:rPr>
            </w:pPr>
          </w:p>
          <w:p>
            <w:pPr>
              <w:rPr>
                <w:b/>
                <w:sz w:val="24"/>
              </w:rPr>
            </w:pPr>
          </w:p>
          <w:p>
            <w:pPr>
              <w:pStyle w:val="13"/>
              <w:rPr>
                <w:b/>
                <w:sz w:val="24"/>
              </w:rPr>
            </w:pPr>
          </w:p>
          <w:p/>
          <w:p>
            <w:pPr>
              <w:spacing w:line="360" w:lineRule="auto"/>
              <w:jc w:val="left"/>
              <w:rPr>
                <w:b/>
                <w:sz w:val="24"/>
              </w:rPr>
            </w:pPr>
          </w:p>
        </w:tc>
      </w:tr>
    </w:tbl>
    <w:p>
      <w:pPr>
        <w:jc w:val="left"/>
        <w:rPr>
          <w:b/>
          <w:sz w:val="28"/>
          <w:szCs w:val="28"/>
        </w:rPr>
      </w:pPr>
      <w:r>
        <w:rPr>
          <w:rFonts w:hint="eastAsia"/>
          <w:b/>
          <w:sz w:val="28"/>
          <w:szCs w:val="28"/>
        </w:rPr>
        <w:t xml:space="preserve">表六 </w:t>
      </w:r>
    </w:p>
    <w:tbl>
      <w:tblPr>
        <w:tblStyle w:val="21"/>
        <w:tblW w:w="9459" w:type="dxa"/>
        <w:tblInd w:w="-4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459" w:type="dxa"/>
          </w:tcPr>
          <w:p>
            <w:pPr>
              <w:pStyle w:val="9"/>
              <w:spacing w:line="360" w:lineRule="auto"/>
              <w:rPr>
                <w:rFonts w:hint="eastAsia" w:ascii="Times New Roman" w:hAnsi="Times New Roman" w:cs="Times New Roman"/>
                <w:b/>
                <w:bCs/>
                <w:sz w:val="24"/>
              </w:rPr>
            </w:pPr>
            <w:bookmarkStart w:id="12" w:name="_Toc503769136"/>
            <w:r>
              <w:rPr>
                <w:rFonts w:ascii="Times New Roman" w:hAnsi="Times New Roman" w:cs="Times New Roman"/>
                <w:b/>
                <w:bCs/>
                <w:sz w:val="24"/>
              </w:rPr>
              <w:t>验收监测内容</w:t>
            </w:r>
            <w:r>
              <w:rPr>
                <w:rFonts w:hint="eastAsia" w:ascii="Times New Roman" w:hAnsi="Times New Roman" w:cs="Times New Roman"/>
                <w:b/>
                <w:bCs/>
                <w:sz w:val="24"/>
              </w:rPr>
              <w:t>：</w:t>
            </w:r>
          </w:p>
          <w:bookmarkEnd w:id="12"/>
          <w:p>
            <w:pPr>
              <w:spacing w:line="360" w:lineRule="auto"/>
              <w:ind w:firstLine="482" w:firstLineChars="200"/>
              <w:rPr>
                <w:rFonts w:cs="Times New Roman"/>
                <w:b/>
                <w:bCs/>
                <w:color w:val="000000" w:themeColor="text1"/>
                <w:sz w:val="24"/>
                <w14:textFill>
                  <w14:solidFill>
                    <w14:schemeClr w14:val="tx1"/>
                  </w14:solidFill>
                </w14:textFill>
              </w:rPr>
            </w:pPr>
            <w:r>
              <w:rPr>
                <w:rFonts w:hint="eastAsia" w:cs="Times New Roman"/>
                <w:b/>
                <w:bCs/>
                <w:sz w:val="24"/>
              </w:rPr>
              <w:t>1、</w:t>
            </w:r>
            <w:r>
              <w:rPr>
                <w:rFonts w:hint="eastAsia" w:cs="Times New Roman"/>
                <w:b/>
                <w:bCs/>
                <w:sz w:val="24"/>
                <w:lang w:eastAsia="zh-CN"/>
              </w:rPr>
              <w:t>有</w:t>
            </w:r>
            <w:r>
              <w:rPr>
                <w:rFonts w:cs="Times New Roman"/>
                <w:b/>
                <w:bCs/>
                <w:sz w:val="24"/>
              </w:rPr>
              <w:t>组织</w:t>
            </w:r>
            <w:r>
              <w:rPr>
                <w:rFonts w:hint="eastAsia" w:cs="Times New Roman"/>
                <w:b/>
                <w:bCs/>
                <w:sz w:val="24"/>
              </w:rPr>
              <w:t>废气监测</w:t>
            </w:r>
          </w:p>
          <w:p>
            <w:pPr>
              <w:spacing w:line="360" w:lineRule="auto"/>
              <w:ind w:firstLine="480" w:firstLineChars="200"/>
              <w:rPr>
                <w:rFonts w:hint="default" w:cs="Times New Roman" w:eastAsiaTheme="minorEastAsia"/>
                <w:sz w:val="24"/>
                <w:lang w:val="en-US" w:eastAsia="zh-CN"/>
              </w:rPr>
            </w:pPr>
            <w:r>
              <w:rPr>
                <w:rFonts w:hint="eastAsia" w:cs="Times New Roman"/>
                <w:sz w:val="24"/>
                <w:lang w:eastAsia="zh-CN"/>
              </w:rPr>
              <w:t>（</w:t>
            </w:r>
            <w:r>
              <w:rPr>
                <w:rFonts w:hint="eastAsia" w:cs="Times New Roman"/>
                <w:sz w:val="24"/>
                <w:lang w:val="en-US" w:eastAsia="zh-CN"/>
              </w:rPr>
              <w:t>1）喷涂废气</w:t>
            </w:r>
          </w:p>
          <w:p>
            <w:pPr>
              <w:spacing w:line="360" w:lineRule="auto"/>
              <w:ind w:firstLine="480" w:firstLineChars="200"/>
              <w:rPr>
                <w:rFonts w:cs="Times New Roman"/>
                <w:sz w:val="24"/>
              </w:rPr>
            </w:pPr>
            <w:r>
              <w:rPr>
                <w:rFonts w:cs="Times New Roman"/>
                <w:sz w:val="24"/>
              </w:rPr>
              <w:t>监测项目：</w:t>
            </w:r>
            <w:r>
              <w:rPr>
                <w:rFonts w:hint="eastAsia" w:cs="Times New Roman"/>
                <w:sz w:val="24"/>
                <w:lang w:eastAsia="zh-CN"/>
              </w:rPr>
              <w:t>颗粒物、二甲苯、非甲烷总烃</w:t>
            </w:r>
            <w:r>
              <w:rPr>
                <w:rFonts w:hint="eastAsia" w:cs="Times New Roman"/>
                <w:sz w:val="24"/>
              </w:rPr>
              <w:t>。</w:t>
            </w:r>
          </w:p>
          <w:p>
            <w:pPr>
              <w:spacing w:line="360" w:lineRule="auto"/>
              <w:ind w:firstLine="480" w:firstLineChars="200"/>
              <w:rPr>
                <w:rFonts w:cs="Times New Roman"/>
                <w:sz w:val="24"/>
              </w:rPr>
            </w:pPr>
            <w:r>
              <w:rPr>
                <w:rFonts w:cs="Times New Roman"/>
                <w:sz w:val="24"/>
              </w:rPr>
              <w:t>监测点位：</w:t>
            </w:r>
            <w:r>
              <w:rPr>
                <w:rFonts w:hint="eastAsia" w:cs="Times New Roman"/>
                <w:sz w:val="24"/>
                <w:lang w:val="zh-TW" w:eastAsia="zh-CN"/>
              </w:rPr>
              <w:t>涂装废气排气筒进出口</w:t>
            </w:r>
            <w:r>
              <w:rPr>
                <w:rFonts w:hint="eastAsia" w:cs="Times New Roman"/>
                <w:sz w:val="24"/>
              </w:rPr>
              <w:t>。</w:t>
            </w:r>
          </w:p>
          <w:p>
            <w:pPr>
              <w:spacing w:line="360" w:lineRule="auto"/>
              <w:ind w:firstLine="480" w:firstLineChars="200"/>
              <w:rPr>
                <w:rFonts w:hint="eastAsia" w:cs="Times New Roman" w:eastAsiaTheme="minorEastAsia"/>
                <w:sz w:val="24"/>
                <w:lang w:val="en-US" w:eastAsia="zh-CN"/>
              </w:rPr>
            </w:pPr>
            <w:r>
              <w:rPr>
                <w:rFonts w:hint="eastAsia" w:cs="Times New Roman"/>
                <w:sz w:val="24"/>
                <w:lang w:eastAsia="zh-CN"/>
              </w:rPr>
              <w:t>执行</w:t>
            </w:r>
            <w:r>
              <w:rPr>
                <w:rFonts w:hint="eastAsia" w:cs="Times New Roman"/>
                <w:sz w:val="24"/>
              </w:rPr>
              <w:t>标准：</w:t>
            </w:r>
            <w:r>
              <w:rPr>
                <w:rFonts w:hint="eastAsia" w:cs="Times New Roman"/>
                <w:sz w:val="24"/>
                <w:lang w:eastAsia="zh-CN"/>
              </w:rPr>
              <w:t>执行</w:t>
            </w:r>
            <w:r>
              <w:rPr>
                <w:rFonts w:hint="eastAsia" w:cs="Times New Roman"/>
                <w:sz w:val="24"/>
              </w:rPr>
              <w:t>上海市地方标准《大气污染物综合排放标准》</w:t>
            </w:r>
            <w:r>
              <w:rPr>
                <w:rFonts w:hint="eastAsia" w:cs="Times New Roman"/>
                <w:sz w:val="24"/>
                <w:lang w:eastAsia="zh-CN"/>
              </w:rPr>
              <w:t>（</w:t>
            </w:r>
            <w:r>
              <w:rPr>
                <w:rFonts w:hint="eastAsia" w:cs="Times New Roman"/>
                <w:sz w:val="24"/>
              </w:rPr>
              <w:t>DB31/933-2015</w:t>
            </w:r>
            <w:r>
              <w:rPr>
                <w:rFonts w:hint="eastAsia" w:cs="Times New Roman"/>
                <w:sz w:val="24"/>
                <w:lang w:eastAsia="zh-CN"/>
              </w:rPr>
              <w:t>）</w:t>
            </w:r>
            <w:r>
              <w:rPr>
                <w:rFonts w:hint="eastAsia" w:cs="Times New Roman"/>
                <w:sz w:val="24"/>
              </w:rPr>
              <w:t>中的标准要求</w:t>
            </w:r>
            <w:r>
              <w:rPr>
                <w:rFonts w:hint="eastAsia" w:cs="Times New Roman"/>
                <w:sz w:val="24"/>
                <w:lang w:val="en-US" w:eastAsia="zh-CN"/>
              </w:rPr>
              <w:t>。</w:t>
            </w:r>
          </w:p>
          <w:p>
            <w:pPr>
              <w:spacing w:line="360" w:lineRule="auto"/>
              <w:ind w:firstLine="480" w:firstLineChars="200"/>
              <w:rPr>
                <w:rFonts w:ascii="Times New Roman" w:hAnsi="Times New Roman" w:cs="Times New Roman"/>
                <w:sz w:val="24"/>
                <w:lang w:val="zh-TW" w:eastAsia="zh-TW"/>
              </w:rPr>
            </w:pPr>
            <w:r>
              <w:rPr>
                <w:rFonts w:ascii="Times New Roman" w:hAnsi="Times New Roman" w:cs="Times New Roman"/>
                <w:sz w:val="24"/>
                <w:lang w:val="zh-TW" w:eastAsia="zh-TW"/>
              </w:rPr>
              <w:t>监测频次：连续监测2天，每天</w:t>
            </w:r>
            <w:r>
              <w:rPr>
                <w:rFonts w:hint="eastAsia" w:ascii="Times New Roman" w:hAnsi="Times New Roman" w:cs="Times New Roman"/>
                <w:sz w:val="24"/>
                <w:lang w:val="zh-TW" w:eastAsia="zh-CN"/>
              </w:rPr>
              <w:t>各</w:t>
            </w:r>
            <w:r>
              <w:rPr>
                <w:rFonts w:ascii="Times New Roman" w:hAnsi="Times New Roman" w:cs="Times New Roman"/>
                <w:sz w:val="24"/>
                <w:lang w:val="zh-TW" w:eastAsia="zh-TW"/>
              </w:rPr>
              <w:t>监测</w:t>
            </w:r>
            <w:r>
              <w:rPr>
                <w:rFonts w:hint="eastAsia" w:ascii="Times New Roman" w:hAnsi="Times New Roman" w:cs="Times New Roman"/>
                <w:sz w:val="24"/>
                <w:lang w:val="en-US" w:eastAsia="zh-CN"/>
              </w:rPr>
              <w:t>3</w:t>
            </w:r>
            <w:r>
              <w:rPr>
                <w:rFonts w:ascii="Times New Roman" w:hAnsi="Times New Roman" w:cs="Times New Roman"/>
                <w:sz w:val="24"/>
                <w:lang w:val="zh-TW" w:eastAsia="zh-TW"/>
              </w:rPr>
              <w:t>次。</w:t>
            </w:r>
          </w:p>
          <w:p>
            <w:pPr>
              <w:spacing w:line="360" w:lineRule="auto"/>
              <w:ind w:firstLine="480" w:firstLineChars="200"/>
              <w:rPr>
                <w:rFonts w:ascii="Times New Roman" w:hAnsi="Times New Roman" w:cs="Times New Roman"/>
                <w:sz w:val="24"/>
                <w:lang w:val="zh-TW" w:eastAsia="zh-TW"/>
              </w:rPr>
            </w:pPr>
            <w:r>
              <w:rPr>
                <w:rFonts w:hint="eastAsia" w:ascii="Times New Roman" w:hAnsi="Times New Roman" w:cs="Times New Roman"/>
                <w:sz w:val="24"/>
                <w:lang w:val="en-US" w:eastAsia="zh-CN"/>
              </w:rPr>
              <w:t>（2）木工废气</w:t>
            </w:r>
          </w:p>
          <w:p>
            <w:pPr>
              <w:spacing w:line="360" w:lineRule="auto"/>
              <w:ind w:firstLine="480" w:firstLineChars="200"/>
              <w:rPr>
                <w:rFonts w:ascii="Times New Roman" w:hAnsi="Times New Roman" w:cs="Times New Roman"/>
                <w:sz w:val="24"/>
                <w:lang w:val="zh-TW" w:eastAsia="zh-TW"/>
              </w:rPr>
            </w:pPr>
            <w:r>
              <w:rPr>
                <w:rFonts w:ascii="Times New Roman" w:hAnsi="Times New Roman" w:cs="Times New Roman"/>
                <w:sz w:val="24"/>
                <w:lang w:val="zh-TW" w:eastAsia="zh-TW"/>
              </w:rPr>
              <w:t>监测项目：</w:t>
            </w:r>
            <w:r>
              <w:rPr>
                <w:rFonts w:hint="eastAsia" w:ascii="Times New Roman" w:hAnsi="Times New Roman" w:cs="Times New Roman"/>
                <w:sz w:val="24"/>
                <w:lang w:val="zh-TW" w:eastAsia="zh-CN"/>
              </w:rPr>
              <w:t>颗粒物</w:t>
            </w:r>
            <w:r>
              <w:rPr>
                <w:rFonts w:hint="eastAsia" w:ascii="Times New Roman" w:hAnsi="Times New Roman" w:cs="Times New Roman"/>
                <w:sz w:val="24"/>
                <w:lang w:val="zh-TW" w:eastAsia="zh-TW"/>
              </w:rPr>
              <w:t>。</w:t>
            </w:r>
          </w:p>
          <w:p>
            <w:pPr>
              <w:spacing w:line="360" w:lineRule="auto"/>
              <w:ind w:firstLine="480" w:firstLineChars="200"/>
              <w:rPr>
                <w:rFonts w:ascii="Times New Roman" w:hAnsi="Times New Roman" w:cs="Times New Roman"/>
                <w:sz w:val="24"/>
                <w:lang w:val="zh-TW" w:eastAsia="zh-TW"/>
              </w:rPr>
            </w:pPr>
            <w:r>
              <w:rPr>
                <w:rFonts w:ascii="Times New Roman" w:hAnsi="Times New Roman" w:cs="Times New Roman"/>
                <w:sz w:val="24"/>
                <w:lang w:val="zh-TW" w:eastAsia="zh-TW"/>
              </w:rPr>
              <w:t>监测点位：</w:t>
            </w:r>
            <w:r>
              <w:rPr>
                <w:rFonts w:hint="eastAsia" w:cs="Times New Roman"/>
                <w:sz w:val="24"/>
                <w:lang w:val="zh-TW" w:eastAsia="zh-CN"/>
              </w:rPr>
              <w:t>木工粉尘排气筒进出口</w:t>
            </w:r>
            <w:r>
              <w:rPr>
                <w:rFonts w:hint="eastAsia" w:ascii="Times New Roman" w:hAnsi="Times New Roman" w:cs="Times New Roman"/>
                <w:sz w:val="24"/>
                <w:lang w:val="zh-TW" w:eastAsia="zh-TW"/>
              </w:rPr>
              <w:t>。</w:t>
            </w:r>
          </w:p>
          <w:p>
            <w:pPr>
              <w:spacing w:line="360" w:lineRule="auto"/>
              <w:ind w:firstLine="480" w:firstLineChars="200"/>
              <w:rPr>
                <w:rFonts w:hint="eastAsia" w:ascii="Times New Roman" w:hAnsi="Times New Roman" w:cs="Times New Roman"/>
                <w:sz w:val="24"/>
                <w:lang w:val="en-US" w:eastAsia="zh-CN"/>
              </w:rPr>
            </w:pPr>
            <w:r>
              <w:rPr>
                <w:rFonts w:hint="eastAsia" w:ascii="Times New Roman" w:hAnsi="Times New Roman" w:cs="Times New Roman"/>
                <w:sz w:val="24"/>
                <w:lang w:val="zh-TW" w:eastAsia="zh-CN"/>
              </w:rPr>
              <w:t>执行</w:t>
            </w:r>
            <w:r>
              <w:rPr>
                <w:rFonts w:hint="eastAsia" w:ascii="Times New Roman" w:hAnsi="Times New Roman" w:cs="Times New Roman"/>
                <w:sz w:val="24"/>
                <w:lang w:val="zh-TW" w:eastAsia="zh-TW"/>
              </w:rPr>
              <w:t>标准：</w:t>
            </w:r>
            <w:r>
              <w:rPr>
                <w:rFonts w:hint="eastAsia" w:ascii="Times New Roman" w:hAnsi="Times New Roman" w:cs="Times New Roman"/>
                <w:sz w:val="24"/>
                <w:lang w:val="zh-TW" w:eastAsia="zh-CN"/>
              </w:rPr>
              <w:t>执行</w:t>
            </w:r>
            <w:r>
              <w:rPr>
                <w:rFonts w:hint="eastAsia" w:ascii="Times New Roman" w:hAnsi="Times New Roman" w:cs="Times New Roman"/>
                <w:sz w:val="24"/>
                <w:lang w:val="zh-TW" w:eastAsia="zh-TW"/>
              </w:rPr>
              <w:t>上海市地方标准《大气污染物综合排放标准》</w:t>
            </w:r>
            <w:r>
              <w:rPr>
                <w:rFonts w:hint="eastAsia" w:ascii="Times New Roman" w:hAnsi="Times New Roman" w:cs="Times New Roman"/>
                <w:sz w:val="24"/>
                <w:lang w:val="zh-TW" w:eastAsia="zh-CN"/>
              </w:rPr>
              <w:t>（</w:t>
            </w:r>
            <w:r>
              <w:rPr>
                <w:rFonts w:hint="eastAsia" w:ascii="Times New Roman" w:hAnsi="Times New Roman" w:cs="Times New Roman"/>
                <w:sz w:val="24"/>
                <w:lang w:val="zh-TW" w:eastAsia="zh-TW"/>
              </w:rPr>
              <w:t>DB31/933-2015</w:t>
            </w:r>
            <w:r>
              <w:rPr>
                <w:rFonts w:hint="eastAsia" w:ascii="Times New Roman" w:hAnsi="Times New Roman" w:cs="Times New Roman"/>
                <w:sz w:val="24"/>
                <w:lang w:val="zh-TW" w:eastAsia="zh-CN"/>
              </w:rPr>
              <w:t>）</w:t>
            </w:r>
            <w:r>
              <w:rPr>
                <w:rFonts w:hint="eastAsia" w:ascii="Times New Roman" w:hAnsi="Times New Roman" w:cs="Times New Roman"/>
                <w:sz w:val="24"/>
                <w:lang w:val="zh-TW" w:eastAsia="zh-TW"/>
              </w:rPr>
              <w:t>中的标准要求</w:t>
            </w:r>
            <w:r>
              <w:rPr>
                <w:rFonts w:hint="eastAsia" w:ascii="Times New Roman" w:hAnsi="Times New Roman" w:cs="Times New Roman"/>
                <w:sz w:val="24"/>
                <w:lang w:val="en-US" w:eastAsia="zh-CN"/>
              </w:rPr>
              <w:t>。</w:t>
            </w:r>
          </w:p>
          <w:p>
            <w:pPr>
              <w:spacing w:line="360" w:lineRule="auto"/>
              <w:ind w:firstLine="480" w:firstLineChars="200"/>
              <w:rPr>
                <w:rFonts w:hint="default" w:ascii="Times New Roman" w:hAnsi="Times New Roman" w:cs="Times New Roman"/>
                <w:sz w:val="24"/>
                <w:lang w:val="en-US" w:eastAsia="zh-CN"/>
              </w:rPr>
            </w:pPr>
            <w:r>
              <w:rPr>
                <w:rFonts w:ascii="Times New Roman" w:hAnsi="Times New Roman" w:cs="Times New Roman"/>
                <w:sz w:val="24"/>
                <w:lang w:val="zh-TW" w:eastAsia="zh-TW"/>
              </w:rPr>
              <w:t>监测频次：连续监测2天，每天</w:t>
            </w:r>
            <w:r>
              <w:rPr>
                <w:rFonts w:hint="eastAsia" w:ascii="Times New Roman" w:hAnsi="Times New Roman" w:cs="Times New Roman"/>
                <w:sz w:val="24"/>
                <w:lang w:val="zh-TW" w:eastAsia="zh-CN"/>
              </w:rPr>
              <w:t>各</w:t>
            </w:r>
            <w:r>
              <w:rPr>
                <w:rFonts w:ascii="Times New Roman" w:hAnsi="Times New Roman" w:cs="Times New Roman"/>
                <w:sz w:val="24"/>
                <w:lang w:val="zh-TW" w:eastAsia="zh-TW"/>
              </w:rPr>
              <w:t>监测</w:t>
            </w:r>
            <w:r>
              <w:rPr>
                <w:rFonts w:hint="eastAsia" w:ascii="Times New Roman" w:hAnsi="Times New Roman" w:cs="Times New Roman"/>
                <w:sz w:val="24"/>
                <w:lang w:val="en-US" w:eastAsia="zh-CN"/>
              </w:rPr>
              <w:t>3</w:t>
            </w:r>
            <w:r>
              <w:rPr>
                <w:rFonts w:ascii="Times New Roman" w:hAnsi="Times New Roman" w:cs="Times New Roman"/>
                <w:sz w:val="24"/>
                <w:lang w:val="zh-TW" w:eastAsia="zh-TW"/>
              </w:rPr>
              <w:t>次。</w:t>
            </w:r>
          </w:p>
          <w:p>
            <w:pPr>
              <w:spacing w:line="360" w:lineRule="auto"/>
              <w:ind w:firstLine="482" w:firstLineChars="200"/>
              <w:rPr>
                <w:rFonts w:cs="Times New Roman"/>
                <w:b/>
                <w:bCs/>
                <w:color w:val="000000" w:themeColor="text1"/>
                <w:sz w:val="24"/>
                <w14:textFill>
                  <w14:solidFill>
                    <w14:schemeClr w14:val="tx1"/>
                  </w14:solidFill>
                </w14:textFill>
              </w:rPr>
            </w:pPr>
            <w:r>
              <w:rPr>
                <w:rFonts w:hint="eastAsia" w:cs="Times New Roman"/>
                <w:b/>
                <w:bCs/>
                <w:sz w:val="24"/>
                <w:lang w:val="en-US" w:eastAsia="zh-CN"/>
              </w:rPr>
              <w:t>2</w:t>
            </w:r>
            <w:r>
              <w:rPr>
                <w:rFonts w:hint="eastAsia" w:cs="Times New Roman"/>
                <w:b/>
                <w:bCs/>
                <w:sz w:val="24"/>
              </w:rPr>
              <w:t>、</w:t>
            </w:r>
            <w:r>
              <w:rPr>
                <w:rFonts w:hint="eastAsia" w:cs="Times New Roman"/>
                <w:b/>
                <w:bCs/>
                <w:sz w:val="24"/>
                <w:lang w:eastAsia="zh-CN"/>
              </w:rPr>
              <w:t>无</w:t>
            </w:r>
            <w:r>
              <w:rPr>
                <w:rFonts w:cs="Times New Roman"/>
                <w:b/>
                <w:bCs/>
                <w:sz w:val="24"/>
              </w:rPr>
              <w:t>组织</w:t>
            </w:r>
            <w:r>
              <w:rPr>
                <w:rFonts w:hint="eastAsia" w:cs="Times New Roman"/>
                <w:b/>
                <w:bCs/>
                <w:sz w:val="24"/>
              </w:rPr>
              <w:t>废气监测</w:t>
            </w:r>
          </w:p>
          <w:p>
            <w:pPr>
              <w:spacing w:line="360" w:lineRule="auto"/>
              <w:ind w:firstLine="480" w:firstLineChars="200"/>
              <w:rPr>
                <w:rFonts w:hint="eastAsia" w:cs="Times New Roman"/>
                <w:b w:val="0"/>
                <w:bCs w:val="0"/>
                <w:sz w:val="24"/>
              </w:rPr>
            </w:pPr>
            <w:r>
              <w:rPr>
                <w:rFonts w:hint="eastAsia" w:cs="Times New Roman"/>
                <w:b w:val="0"/>
                <w:bCs w:val="0"/>
                <w:sz w:val="24"/>
              </w:rPr>
              <w:t>监测项目：</w:t>
            </w:r>
            <w:r>
              <w:rPr>
                <w:rFonts w:hint="eastAsia" w:cs="Times New Roman"/>
                <w:b w:val="0"/>
                <w:bCs w:val="0"/>
                <w:sz w:val="24"/>
                <w:lang w:eastAsia="zh-CN"/>
              </w:rPr>
              <w:t>非甲烷总烃</w:t>
            </w:r>
            <w:r>
              <w:rPr>
                <w:rFonts w:hint="eastAsia" w:cs="Times New Roman"/>
                <w:b w:val="0"/>
                <w:bCs w:val="0"/>
                <w:sz w:val="24"/>
              </w:rPr>
              <w:t>。</w:t>
            </w:r>
          </w:p>
          <w:p>
            <w:pPr>
              <w:spacing w:line="360" w:lineRule="auto"/>
              <w:ind w:firstLine="480" w:firstLineChars="200"/>
              <w:rPr>
                <w:rFonts w:hint="eastAsia" w:cs="Times New Roman"/>
                <w:b w:val="0"/>
                <w:bCs w:val="0"/>
                <w:sz w:val="24"/>
              </w:rPr>
            </w:pPr>
            <w:r>
              <w:rPr>
                <w:rFonts w:hint="eastAsia" w:cs="Times New Roman"/>
                <w:b w:val="0"/>
                <w:bCs w:val="0"/>
                <w:sz w:val="24"/>
              </w:rPr>
              <w:t>监测点位：</w:t>
            </w:r>
            <w:r>
              <w:rPr>
                <w:rFonts w:hint="eastAsia" w:cs="Times New Roman"/>
                <w:b w:val="0"/>
                <w:bCs w:val="0"/>
                <w:sz w:val="24"/>
                <w:lang w:val="en-US" w:eastAsia="zh-CN"/>
              </w:rPr>
              <w:t>厂界上风向1个点（G1）、下风向3个点（G2、G3、G4），厂区内1个点（G5）</w:t>
            </w:r>
            <w:r>
              <w:rPr>
                <w:rFonts w:hint="eastAsia" w:cs="Times New Roman"/>
                <w:b w:val="0"/>
                <w:bCs w:val="0"/>
                <w:sz w:val="24"/>
              </w:rPr>
              <w:t>。</w:t>
            </w:r>
          </w:p>
          <w:p>
            <w:pPr>
              <w:spacing w:line="360" w:lineRule="auto"/>
              <w:ind w:firstLine="480" w:firstLineChars="200"/>
              <w:rPr>
                <w:rFonts w:hint="eastAsia" w:cs="Times New Roman"/>
                <w:b w:val="0"/>
                <w:bCs w:val="0"/>
                <w:sz w:val="24"/>
                <w:lang w:val="en-US" w:eastAsia="zh-CN"/>
              </w:rPr>
            </w:pPr>
            <w:r>
              <w:rPr>
                <w:rFonts w:hint="eastAsia" w:cs="Times New Roman"/>
                <w:b w:val="0"/>
                <w:bCs w:val="0"/>
                <w:sz w:val="24"/>
                <w:lang w:eastAsia="zh-CN"/>
              </w:rPr>
              <w:t>执行</w:t>
            </w:r>
            <w:r>
              <w:rPr>
                <w:rFonts w:hint="eastAsia" w:cs="Times New Roman"/>
                <w:b w:val="0"/>
                <w:bCs w:val="0"/>
                <w:sz w:val="24"/>
              </w:rPr>
              <w:t>标准：</w:t>
            </w:r>
            <w:r>
              <w:rPr>
                <w:rFonts w:hint="eastAsia" w:cs="Times New Roman"/>
                <w:b w:val="0"/>
                <w:bCs w:val="0"/>
                <w:sz w:val="24"/>
                <w:lang w:eastAsia="zh-CN"/>
              </w:rPr>
              <w:t>厂界</w:t>
            </w:r>
            <w:r>
              <w:rPr>
                <w:rFonts w:hint="eastAsia" w:ascii="Times New Roman" w:hAnsi="Times New Roman" w:cs="Times New Roman"/>
                <w:sz w:val="24"/>
                <w:lang w:val="zh-TW" w:eastAsia="zh-CN"/>
              </w:rPr>
              <w:t>执行</w:t>
            </w:r>
            <w:r>
              <w:rPr>
                <w:rFonts w:hint="eastAsia" w:ascii="Times New Roman" w:hAnsi="Times New Roman" w:cs="Times New Roman"/>
                <w:sz w:val="24"/>
                <w:lang w:val="zh-TW" w:eastAsia="zh-TW"/>
              </w:rPr>
              <w:t>上海市地方标准《大气污染物综合排放标准》</w:t>
            </w:r>
            <w:r>
              <w:rPr>
                <w:rFonts w:hint="eastAsia" w:ascii="Times New Roman" w:hAnsi="Times New Roman" w:cs="Times New Roman"/>
                <w:sz w:val="24"/>
                <w:lang w:val="zh-TW" w:eastAsia="zh-CN"/>
              </w:rPr>
              <w:t>（</w:t>
            </w:r>
            <w:r>
              <w:rPr>
                <w:rFonts w:hint="eastAsia" w:ascii="Times New Roman" w:hAnsi="Times New Roman" w:cs="Times New Roman"/>
                <w:sz w:val="24"/>
                <w:lang w:val="zh-TW" w:eastAsia="zh-TW"/>
              </w:rPr>
              <w:t>DB31/933-2015</w:t>
            </w:r>
            <w:r>
              <w:rPr>
                <w:rFonts w:hint="eastAsia" w:ascii="Times New Roman" w:hAnsi="Times New Roman" w:cs="Times New Roman"/>
                <w:sz w:val="24"/>
                <w:lang w:val="zh-TW" w:eastAsia="zh-CN"/>
              </w:rPr>
              <w:t>）</w:t>
            </w:r>
            <w:r>
              <w:rPr>
                <w:rFonts w:hint="eastAsia" w:ascii="Times New Roman" w:hAnsi="Times New Roman" w:cs="Times New Roman"/>
                <w:sz w:val="24"/>
                <w:lang w:val="zh-TW" w:eastAsia="zh-TW"/>
              </w:rPr>
              <w:t>中的标准要求</w:t>
            </w:r>
            <w:r>
              <w:rPr>
                <w:rFonts w:hint="eastAsia" w:ascii="Times New Roman" w:hAnsi="Times New Roman" w:cs="Times New Roman"/>
                <w:sz w:val="24"/>
                <w:lang w:val="zh-TW" w:eastAsia="zh-CN"/>
              </w:rPr>
              <w:t>，厂区内执行《挥发性有机物无组织排放控制标准》（GB37822-2019）中的标准要求</w:t>
            </w:r>
            <w:r>
              <w:rPr>
                <w:rFonts w:hint="eastAsia" w:cs="Times New Roman"/>
                <w:b w:val="0"/>
                <w:bCs w:val="0"/>
                <w:sz w:val="24"/>
                <w:lang w:val="en-US" w:eastAsia="zh-CN"/>
              </w:rPr>
              <w:t>。</w:t>
            </w:r>
          </w:p>
          <w:p>
            <w:pPr>
              <w:spacing w:line="360" w:lineRule="auto"/>
              <w:ind w:firstLine="480" w:firstLineChars="200"/>
              <w:rPr>
                <w:rFonts w:hint="eastAsia" w:cs="Times New Roman"/>
                <w:b/>
                <w:bCs/>
                <w:sz w:val="24"/>
                <w:szCs w:val="24"/>
                <w:lang w:val="en-US" w:eastAsia="zh-CN"/>
              </w:rPr>
            </w:pPr>
            <w:r>
              <w:rPr>
                <w:rFonts w:hint="eastAsia" w:cs="Times New Roman"/>
                <w:b w:val="0"/>
                <w:bCs w:val="0"/>
                <w:sz w:val="24"/>
              </w:rPr>
              <w:t>监测频次：连续监测2天，每</w:t>
            </w:r>
            <w:r>
              <w:rPr>
                <w:rFonts w:hint="eastAsia" w:cs="Times New Roman"/>
                <w:b w:val="0"/>
                <w:bCs w:val="0"/>
                <w:sz w:val="24"/>
                <w:lang w:eastAsia="zh-CN"/>
              </w:rPr>
              <w:t>天各</w:t>
            </w:r>
            <w:r>
              <w:rPr>
                <w:rFonts w:hint="eastAsia" w:cs="Times New Roman"/>
                <w:b w:val="0"/>
                <w:bCs w:val="0"/>
                <w:sz w:val="24"/>
              </w:rPr>
              <w:t>监测</w:t>
            </w:r>
            <w:r>
              <w:rPr>
                <w:rFonts w:hint="eastAsia" w:cs="Times New Roman"/>
                <w:b w:val="0"/>
                <w:bCs w:val="0"/>
                <w:sz w:val="24"/>
                <w:lang w:val="en-US" w:eastAsia="zh-CN"/>
              </w:rPr>
              <w:t>3</w:t>
            </w:r>
            <w:r>
              <w:rPr>
                <w:rFonts w:hint="eastAsia" w:cs="Times New Roman"/>
                <w:b w:val="0"/>
                <w:bCs w:val="0"/>
                <w:sz w:val="24"/>
              </w:rPr>
              <w:t>次。</w:t>
            </w:r>
            <w:r>
              <w:rPr>
                <w:rFonts w:hint="eastAsia" w:cs="Times New Roman"/>
                <w:b/>
                <w:bCs/>
                <w:sz w:val="24"/>
                <w:szCs w:val="24"/>
                <w:lang w:val="en-US" w:eastAsia="zh-CN"/>
              </w:rPr>
              <w:t xml:space="preserve"> </w:t>
            </w:r>
          </w:p>
          <w:p>
            <w:pPr>
              <w:spacing w:line="360" w:lineRule="auto"/>
              <w:ind w:firstLine="482" w:firstLineChars="200"/>
              <w:rPr>
                <w:rFonts w:cs="Times New Roman"/>
                <w:b/>
                <w:bCs/>
                <w:sz w:val="24"/>
              </w:rPr>
            </w:pPr>
            <w:r>
              <w:rPr>
                <w:rFonts w:hint="eastAsia" w:cs="Times New Roman"/>
                <w:b/>
                <w:bCs/>
                <w:sz w:val="24"/>
                <w:lang w:val="en-US" w:eastAsia="zh-CN"/>
              </w:rPr>
              <w:t>3</w:t>
            </w:r>
            <w:r>
              <w:rPr>
                <w:rFonts w:hint="eastAsia" w:cs="Times New Roman"/>
                <w:b/>
                <w:bCs/>
                <w:sz w:val="24"/>
              </w:rPr>
              <w:t>、</w:t>
            </w:r>
            <w:r>
              <w:rPr>
                <w:rFonts w:cs="Times New Roman"/>
                <w:b/>
                <w:bCs/>
                <w:sz w:val="24"/>
              </w:rPr>
              <w:t>噪声</w:t>
            </w:r>
          </w:p>
          <w:p>
            <w:pPr>
              <w:spacing w:line="360" w:lineRule="auto"/>
              <w:ind w:firstLine="480" w:firstLineChars="200"/>
              <w:rPr>
                <w:rFonts w:cs="Times New Roman"/>
                <w:sz w:val="24"/>
              </w:rPr>
            </w:pPr>
            <w:r>
              <w:rPr>
                <w:rFonts w:cs="Times New Roman"/>
                <w:sz w:val="24"/>
              </w:rPr>
              <w:t>监测项目：等效连续A声级；</w:t>
            </w:r>
          </w:p>
          <w:p>
            <w:pPr>
              <w:spacing w:line="360" w:lineRule="auto"/>
              <w:ind w:firstLine="480" w:firstLineChars="200"/>
              <w:rPr>
                <w:rFonts w:cs="Times New Roman"/>
                <w:sz w:val="24"/>
              </w:rPr>
            </w:pPr>
            <w:r>
              <w:rPr>
                <w:rFonts w:cs="Times New Roman"/>
                <w:sz w:val="24"/>
              </w:rPr>
              <w:t>监测点位：</w:t>
            </w:r>
            <w:r>
              <w:rPr>
                <w:rFonts w:hint="eastAsia" w:cs="Times New Roman"/>
                <w:sz w:val="24"/>
              </w:rPr>
              <w:t>项目四至厂界</w:t>
            </w:r>
            <w:r>
              <w:rPr>
                <w:rFonts w:cs="Times New Roman"/>
                <w:sz w:val="24"/>
              </w:rPr>
              <w:t>外1m</w:t>
            </w:r>
            <w:r>
              <w:rPr>
                <w:rFonts w:hint="eastAsia" w:cs="Times New Roman"/>
                <w:sz w:val="24"/>
              </w:rPr>
              <w:t>，共4个点位。</w:t>
            </w:r>
          </w:p>
          <w:p>
            <w:pPr>
              <w:spacing w:line="360" w:lineRule="auto"/>
              <w:ind w:firstLine="480" w:firstLineChars="200"/>
              <w:rPr>
                <w:rFonts w:hint="default" w:cs="Times New Roman"/>
                <w:sz w:val="24"/>
                <w:lang w:val="en-US" w:eastAsia="zh-CN"/>
              </w:rPr>
            </w:pPr>
            <w:r>
              <w:rPr>
                <w:rFonts w:hint="eastAsia" w:cs="Times New Roman"/>
                <w:sz w:val="24"/>
              </w:rPr>
              <w:t>排放标准：满足《</w:t>
            </w:r>
            <w:r>
              <w:rPr>
                <w:rFonts w:hint="eastAsia" w:cs="Times New Roman"/>
                <w:sz w:val="24"/>
                <w:lang w:eastAsia="zh-CN"/>
              </w:rPr>
              <w:t>工业企业厂界环境</w:t>
            </w:r>
            <w:r>
              <w:rPr>
                <w:rFonts w:hint="eastAsia" w:cs="Times New Roman"/>
                <w:sz w:val="24"/>
              </w:rPr>
              <w:t>噪声排放标准》（GB</w:t>
            </w:r>
            <w:r>
              <w:rPr>
                <w:rFonts w:hint="eastAsia" w:cs="Times New Roman"/>
                <w:sz w:val="24"/>
                <w:lang w:val="en-US" w:eastAsia="zh-CN"/>
              </w:rPr>
              <w:t>12348</w:t>
            </w:r>
            <w:r>
              <w:rPr>
                <w:rFonts w:hint="eastAsia" w:cs="Times New Roman"/>
                <w:sz w:val="24"/>
              </w:rPr>
              <w:t>-2008）中</w:t>
            </w:r>
            <w:r>
              <w:rPr>
                <w:rFonts w:hint="eastAsia" w:cs="Times New Roman"/>
                <w:sz w:val="24"/>
                <w:lang w:val="en-US" w:eastAsia="zh-CN"/>
              </w:rPr>
              <w:t>3</w:t>
            </w:r>
            <w:r>
              <w:rPr>
                <w:rFonts w:hint="eastAsia" w:cs="Times New Roman"/>
                <w:sz w:val="24"/>
              </w:rPr>
              <w:t>类</w:t>
            </w:r>
            <w:r>
              <w:rPr>
                <w:rFonts w:hint="eastAsia" w:cs="Times New Roman"/>
                <w:sz w:val="24"/>
                <w:lang w:eastAsia="zh-CN"/>
              </w:rPr>
              <w:t>区</w:t>
            </w:r>
            <w:r>
              <w:rPr>
                <w:rFonts w:hint="eastAsia" w:cs="Times New Roman"/>
                <w:sz w:val="24"/>
              </w:rPr>
              <w:t>标准</w:t>
            </w:r>
            <w:r>
              <w:rPr>
                <w:rFonts w:hint="eastAsia" w:cs="Times New Roman"/>
                <w:sz w:val="24"/>
                <w:lang w:val="en-US" w:eastAsia="zh-CN"/>
              </w:rPr>
              <w:t>。</w:t>
            </w:r>
          </w:p>
          <w:p>
            <w:pPr>
              <w:spacing w:line="360" w:lineRule="auto"/>
              <w:ind w:firstLine="480" w:firstLineChars="200"/>
              <w:rPr>
                <w:rFonts w:hint="eastAsia" w:cs="Times New Roman"/>
                <w:sz w:val="24"/>
              </w:rPr>
            </w:pPr>
            <w:r>
              <w:rPr>
                <w:rFonts w:cs="Times New Roman"/>
                <w:sz w:val="24"/>
              </w:rPr>
              <w:t>监测频次：连续监测2天，每天昼间</w:t>
            </w:r>
            <w:r>
              <w:rPr>
                <w:rFonts w:hint="eastAsia" w:cs="Times New Roman"/>
                <w:sz w:val="24"/>
                <w:lang w:eastAsia="zh-CN"/>
              </w:rPr>
              <w:t>各</w:t>
            </w:r>
            <w:r>
              <w:rPr>
                <w:rFonts w:cs="Times New Roman"/>
                <w:sz w:val="24"/>
              </w:rPr>
              <w:t>监测</w:t>
            </w:r>
            <w:r>
              <w:rPr>
                <w:rFonts w:hint="eastAsia" w:cs="Times New Roman"/>
                <w:sz w:val="24"/>
              </w:rPr>
              <w:t>1</w:t>
            </w:r>
            <w:r>
              <w:rPr>
                <w:rFonts w:cs="Times New Roman"/>
                <w:sz w:val="24"/>
              </w:rPr>
              <w:t>次。</w:t>
            </w:r>
          </w:p>
          <w:p>
            <w:pPr>
              <w:spacing w:line="360" w:lineRule="auto"/>
              <w:jc w:val="center"/>
              <w:rPr>
                <w:rFonts w:cs="Times New Roman"/>
                <w:sz w:val="24"/>
              </w:rPr>
            </w:pPr>
            <w:r>
              <w:drawing>
                <wp:inline distT="0" distB="0" distL="114300" distR="114300">
                  <wp:extent cx="5860415" cy="3843020"/>
                  <wp:effectExtent l="0" t="0" r="6985" b="508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6"/>
                          <a:stretch>
                            <a:fillRect/>
                          </a:stretch>
                        </pic:blipFill>
                        <pic:spPr>
                          <a:xfrm>
                            <a:off x="0" y="0"/>
                            <a:ext cx="5860415" cy="3843020"/>
                          </a:xfrm>
                          <a:prstGeom prst="rect">
                            <a:avLst/>
                          </a:prstGeom>
                          <a:noFill/>
                          <a:ln>
                            <a:noFill/>
                          </a:ln>
                        </pic:spPr>
                      </pic:pic>
                    </a:graphicData>
                  </a:graphic>
                </wp:inline>
              </w:drawing>
            </w:r>
          </w:p>
          <w:p>
            <w:pPr>
              <w:spacing w:line="360" w:lineRule="auto"/>
              <w:ind w:firstLine="2891" w:firstLineChars="1200"/>
              <w:rPr>
                <w:rFonts w:eastAsia="宋体" w:cs="Times New Roman"/>
                <w:b/>
                <w:bCs/>
                <w:sz w:val="24"/>
              </w:rPr>
            </w:pPr>
            <w:r>
              <w:rPr>
                <w:rFonts w:cs="Times New Roman"/>
                <w:b/>
                <w:bCs/>
                <w:sz w:val="24"/>
              </w:rPr>
              <w:t>图6.1：</w:t>
            </w:r>
            <w:r>
              <w:rPr>
                <w:rFonts w:eastAsia="宋体" w:cs="Times New Roman"/>
                <w:b/>
                <w:bCs/>
                <w:sz w:val="24"/>
              </w:rPr>
              <w:t>项目监测点位示意图</w:t>
            </w:r>
          </w:p>
          <w:p>
            <w:pPr>
              <w:spacing w:line="360" w:lineRule="auto"/>
              <w:ind w:firstLine="1890" w:firstLineChars="900"/>
            </w:pPr>
          </w:p>
          <w:p>
            <w:pPr>
              <w:pStyle w:val="2"/>
              <w:rPr>
                <w:rFonts w:cs="Times New Roman"/>
                <w:b/>
                <w:bCs/>
              </w:rPr>
            </w:pPr>
          </w:p>
          <w:p>
            <w:pPr>
              <w:pStyle w:val="4"/>
              <w:rPr>
                <w:rFonts w:cs="Times New Roman"/>
                <w:b/>
                <w:bCs/>
              </w:rPr>
            </w:pPr>
          </w:p>
          <w:p>
            <w:pPr>
              <w:pStyle w:val="4"/>
              <w:rPr>
                <w:rFonts w:cs="Times New Roman"/>
                <w:b/>
                <w:bCs/>
              </w:rPr>
            </w:pPr>
          </w:p>
          <w:p>
            <w:pPr>
              <w:pStyle w:val="4"/>
              <w:rPr>
                <w:rFonts w:cs="Times New Roman"/>
                <w:b/>
                <w:bCs/>
              </w:rPr>
            </w:pPr>
          </w:p>
          <w:p>
            <w:pPr>
              <w:pStyle w:val="4"/>
              <w:rPr>
                <w:rFonts w:cs="Times New Roman"/>
                <w:b/>
                <w:bCs/>
              </w:rPr>
            </w:pPr>
          </w:p>
          <w:p>
            <w:pPr>
              <w:pStyle w:val="4"/>
              <w:rPr>
                <w:rFonts w:cs="Times New Roman"/>
                <w:b/>
                <w:bCs/>
              </w:rPr>
            </w:pPr>
          </w:p>
          <w:p>
            <w:pPr>
              <w:pStyle w:val="4"/>
              <w:rPr>
                <w:rFonts w:cs="Times New Roman"/>
                <w:b/>
                <w:bCs/>
              </w:rPr>
            </w:pPr>
          </w:p>
          <w:p>
            <w:pPr>
              <w:pStyle w:val="2"/>
              <w:rPr>
                <w:rFonts w:cs="Times New Roman"/>
                <w:b/>
                <w:bCs/>
              </w:rPr>
            </w:pPr>
          </w:p>
          <w:p>
            <w:pPr>
              <w:pStyle w:val="2"/>
              <w:rPr>
                <w:rFonts w:hint="eastAsia" w:eastAsia="宋体" w:cs="Times New Roman"/>
                <w:b/>
                <w:bCs/>
                <w:lang w:eastAsia="zh-CN"/>
              </w:rPr>
            </w:pPr>
          </w:p>
          <w:p>
            <w:pPr>
              <w:pStyle w:val="2"/>
              <w:rPr>
                <w:rFonts w:cs="Times New Roman"/>
                <w:b/>
                <w:bCs/>
              </w:rPr>
            </w:pPr>
          </w:p>
          <w:p>
            <w:pPr>
              <w:pStyle w:val="2"/>
              <w:rPr>
                <w:rFonts w:cs="Times New Roman"/>
                <w:b/>
                <w:bCs/>
              </w:rPr>
            </w:pPr>
          </w:p>
          <w:p>
            <w:pPr>
              <w:pStyle w:val="2"/>
              <w:rPr>
                <w:rFonts w:cs="Times New Roman"/>
                <w:b/>
                <w:bCs/>
              </w:rPr>
            </w:pPr>
          </w:p>
          <w:p>
            <w:pPr>
              <w:pStyle w:val="2"/>
              <w:rPr>
                <w:rFonts w:cs="Times New Roman"/>
                <w:b/>
                <w:bCs/>
              </w:rPr>
            </w:pPr>
          </w:p>
          <w:p>
            <w:pPr>
              <w:pStyle w:val="2"/>
              <w:rPr>
                <w:rFonts w:cs="Times New Roman"/>
                <w:b/>
                <w:bCs/>
              </w:rPr>
            </w:pPr>
          </w:p>
        </w:tc>
      </w:tr>
    </w:tbl>
    <w:p>
      <w:pPr>
        <w:jc w:val="left"/>
        <w:rPr>
          <w:b/>
          <w:sz w:val="28"/>
          <w:szCs w:val="28"/>
        </w:rPr>
      </w:pPr>
      <w:r>
        <w:rPr>
          <w:rFonts w:hint="eastAsia"/>
          <w:b/>
          <w:sz w:val="28"/>
          <w:szCs w:val="28"/>
        </w:rPr>
        <w:t xml:space="preserve">表七  </w:t>
      </w:r>
    </w:p>
    <w:tbl>
      <w:tblPr>
        <w:tblStyle w:val="21"/>
        <w:tblW w:w="95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jc w:val="center"/>
        </w:trPr>
        <w:tc>
          <w:tcPr>
            <w:tcW w:w="9571" w:type="dxa"/>
          </w:tcPr>
          <w:p>
            <w:pPr>
              <w:spacing w:line="360" w:lineRule="auto"/>
              <w:jc w:val="left"/>
              <w:rPr>
                <w:b/>
                <w:sz w:val="24"/>
              </w:rPr>
            </w:pPr>
            <w:r>
              <w:rPr>
                <w:rFonts w:hint="eastAsia"/>
                <w:b/>
                <w:sz w:val="24"/>
              </w:rPr>
              <w:t>验收监测期间生产工况记录：</w:t>
            </w:r>
          </w:p>
          <w:p>
            <w:pPr>
              <w:pStyle w:val="32"/>
              <w:ind w:firstLineChars="200"/>
              <w:jc w:val="left"/>
              <w:outlineLvl w:val="9"/>
              <w:rPr>
                <w:bCs/>
                <w:color w:val="auto"/>
                <w:sz w:val="21"/>
                <w:szCs w:val="21"/>
              </w:rPr>
            </w:pPr>
            <w:bookmarkStart w:id="13" w:name="_Toc508806192"/>
            <w:bookmarkStart w:id="14" w:name="_Toc513795213"/>
            <w:bookmarkStart w:id="15" w:name="_Toc512519573"/>
            <w:bookmarkStart w:id="16" w:name="_Toc510513648"/>
            <w:bookmarkStart w:id="17" w:name="_Toc503769153"/>
            <w:r>
              <w:rPr>
                <w:rFonts w:hAnsi="宋体"/>
                <w:bCs/>
                <w:sz w:val="24"/>
              </w:rPr>
              <w:t>项目区在监测</w:t>
            </w:r>
            <w:r>
              <w:rPr>
                <w:rFonts w:hAnsi="宋体"/>
                <w:bCs/>
                <w:color w:val="auto"/>
                <w:sz w:val="24"/>
              </w:rPr>
              <w:t>期间正常生产，各环保设施运行正常，通过现场勘察，项目区环保设施均在正常工作，未发现任何环保设备无故停止</w:t>
            </w:r>
            <w:r>
              <w:rPr>
                <w:rFonts w:hAnsi="宋体"/>
                <w:bCs/>
                <w:color w:val="0D0D0D" w:themeColor="text1" w:themeTint="F2"/>
                <w:sz w:val="24"/>
                <w14:textFill>
                  <w14:solidFill>
                    <w14:schemeClr w14:val="tx1">
                      <w14:lumMod w14:val="95000"/>
                      <w14:lumOff w14:val="5000"/>
                    </w14:schemeClr>
                  </w14:solidFill>
                </w14:textFill>
              </w:rPr>
              <w:t>运行</w:t>
            </w:r>
            <w:r>
              <w:rPr>
                <w:rFonts w:hAnsi="宋体"/>
                <w:bCs/>
                <w:color w:val="auto"/>
                <w:sz w:val="24"/>
              </w:rPr>
              <w:t>，同时，</w:t>
            </w:r>
            <w:r>
              <w:rPr>
                <w:rFonts w:hAnsi="宋体"/>
                <w:bCs/>
                <w:color w:val="000000" w:themeColor="text1"/>
                <w:sz w:val="24"/>
                <w14:textFill>
                  <w14:solidFill>
                    <w14:schemeClr w14:val="tx1"/>
                  </w14:solidFill>
                </w14:textFill>
              </w:rPr>
              <w:t>本次验收记录了</w:t>
            </w:r>
            <w:r>
              <w:rPr>
                <w:bCs/>
                <w:color w:val="000000" w:themeColor="text1"/>
                <w:sz w:val="24"/>
                <w14:textFill>
                  <w14:solidFill>
                    <w14:schemeClr w14:val="tx1"/>
                  </w14:solidFill>
                </w14:textFill>
              </w:rPr>
              <w:t>20</w:t>
            </w:r>
            <w:r>
              <w:rPr>
                <w:rFonts w:hint="eastAsia"/>
                <w:bCs/>
                <w:color w:val="000000" w:themeColor="text1"/>
                <w:sz w:val="24"/>
                <w14:textFill>
                  <w14:solidFill>
                    <w14:schemeClr w14:val="tx1"/>
                  </w14:solidFill>
                </w14:textFill>
              </w:rPr>
              <w:t>2</w:t>
            </w:r>
            <w:r>
              <w:rPr>
                <w:rFonts w:hint="eastAsia"/>
                <w:bCs/>
                <w:color w:val="000000" w:themeColor="text1"/>
                <w:sz w:val="24"/>
                <w:lang w:val="en-US" w:eastAsia="zh-CN"/>
                <w14:textFill>
                  <w14:solidFill>
                    <w14:schemeClr w14:val="tx1"/>
                  </w14:solidFill>
                </w14:textFill>
              </w:rPr>
              <w:t>2</w:t>
            </w:r>
            <w:r>
              <w:rPr>
                <w:rFonts w:hAnsi="宋体"/>
                <w:bCs/>
                <w:color w:val="000000" w:themeColor="text1"/>
                <w:sz w:val="24"/>
                <w14:textFill>
                  <w14:solidFill>
                    <w14:schemeClr w14:val="tx1"/>
                  </w14:solidFill>
                </w14:textFill>
              </w:rPr>
              <w:t>年</w:t>
            </w:r>
            <w:r>
              <w:rPr>
                <w:rFonts w:hint="eastAsia" w:hAnsi="宋体"/>
                <w:bCs/>
                <w:color w:val="000000" w:themeColor="text1"/>
                <w:sz w:val="24"/>
                <w:lang w:val="en-US" w:eastAsia="zh-CN"/>
                <w14:textFill>
                  <w14:solidFill>
                    <w14:schemeClr w14:val="tx1"/>
                  </w14:solidFill>
                </w14:textFill>
              </w:rPr>
              <w:t>3</w:t>
            </w:r>
            <w:r>
              <w:rPr>
                <w:rFonts w:hAnsi="宋体"/>
                <w:bCs/>
                <w:color w:val="000000" w:themeColor="text1"/>
                <w:sz w:val="24"/>
                <w14:textFill>
                  <w14:solidFill>
                    <w14:schemeClr w14:val="tx1"/>
                  </w14:solidFill>
                </w14:textFill>
              </w:rPr>
              <w:t>月</w:t>
            </w:r>
            <w:r>
              <w:rPr>
                <w:rFonts w:hint="eastAsia" w:hAnsi="宋体"/>
                <w:bCs/>
                <w:color w:val="000000" w:themeColor="text1"/>
                <w:sz w:val="24"/>
                <w:lang w:val="en-US" w:eastAsia="zh-CN"/>
                <w14:textFill>
                  <w14:solidFill>
                    <w14:schemeClr w14:val="tx1"/>
                  </w14:solidFill>
                </w14:textFill>
              </w:rPr>
              <w:t>8</w:t>
            </w:r>
            <w:r>
              <w:rPr>
                <w:rFonts w:hAnsi="宋体"/>
                <w:bCs/>
                <w:color w:val="000000" w:themeColor="text1"/>
                <w:sz w:val="24"/>
                <w14:textFill>
                  <w14:solidFill>
                    <w14:schemeClr w14:val="tx1"/>
                  </w14:solidFill>
                </w14:textFill>
              </w:rPr>
              <w:t>日</w:t>
            </w:r>
            <w:r>
              <w:rPr>
                <w:rFonts w:hint="eastAsia" w:hAnsi="宋体"/>
                <w:bCs/>
                <w:color w:val="000000" w:themeColor="text1"/>
                <w:sz w:val="24"/>
                <w14:textFill>
                  <w14:solidFill>
                    <w14:schemeClr w14:val="tx1"/>
                  </w14:solidFill>
                </w14:textFill>
              </w:rPr>
              <w:t>、</w:t>
            </w:r>
            <w:r>
              <w:rPr>
                <w:rFonts w:hint="eastAsia" w:hAnsi="宋体"/>
                <w:bCs/>
                <w:color w:val="000000" w:themeColor="text1"/>
                <w:sz w:val="24"/>
                <w:lang w:val="en-US" w:eastAsia="zh-CN"/>
                <w14:textFill>
                  <w14:solidFill>
                    <w14:schemeClr w14:val="tx1"/>
                  </w14:solidFill>
                </w14:textFill>
              </w:rPr>
              <w:t>9</w:t>
            </w:r>
            <w:r>
              <w:rPr>
                <w:rFonts w:hAnsi="宋体"/>
                <w:bCs/>
                <w:color w:val="000000" w:themeColor="text1"/>
                <w:sz w:val="24"/>
                <w14:textFill>
                  <w14:solidFill>
                    <w14:schemeClr w14:val="tx1"/>
                  </w14:solidFill>
                </w14:textFill>
              </w:rPr>
              <w:t>日两天的生产工况。</w:t>
            </w:r>
            <w:bookmarkEnd w:id="13"/>
            <w:bookmarkEnd w:id="14"/>
            <w:bookmarkEnd w:id="15"/>
            <w:bookmarkEnd w:id="16"/>
            <w:bookmarkEnd w:id="17"/>
          </w:p>
          <w:p>
            <w:pPr>
              <w:pStyle w:val="32"/>
              <w:outlineLvl w:val="9"/>
              <w:rPr>
                <w:b/>
                <w:color w:val="auto"/>
                <w:sz w:val="24"/>
              </w:rPr>
            </w:pPr>
            <w:bookmarkStart w:id="18" w:name="_Toc513795214"/>
            <w:bookmarkStart w:id="19" w:name="_Toc510513649"/>
            <w:bookmarkStart w:id="20" w:name="_Toc512519574"/>
            <w:r>
              <w:rPr>
                <w:rFonts w:hAnsi="宋体"/>
                <w:b/>
                <w:color w:val="auto"/>
                <w:sz w:val="24"/>
              </w:rPr>
              <w:t>表</w:t>
            </w:r>
            <w:r>
              <w:rPr>
                <w:rFonts w:hint="eastAsia"/>
                <w:b/>
                <w:color w:val="auto"/>
                <w:sz w:val="24"/>
              </w:rPr>
              <w:t xml:space="preserve">7.1 </w:t>
            </w:r>
            <w:r>
              <w:rPr>
                <w:rFonts w:hAnsi="宋体"/>
                <w:b/>
                <w:color w:val="auto"/>
                <w:sz w:val="24"/>
              </w:rPr>
              <w:t>项目区生产工况表</w:t>
            </w:r>
            <w:bookmarkEnd w:id="18"/>
            <w:bookmarkEnd w:id="19"/>
            <w:bookmarkEnd w:id="20"/>
          </w:p>
          <w:tbl>
            <w:tblPr>
              <w:tblStyle w:val="21"/>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6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1" w:type="dxa"/>
                  <w:tcBorders>
                    <w:tl2br w:val="single" w:color="auto" w:sz="4" w:space="0"/>
                  </w:tcBorders>
                  <w:vAlign w:val="center"/>
                </w:tcPr>
                <w:p>
                  <w:pPr>
                    <w:pStyle w:val="32"/>
                    <w:spacing w:line="240" w:lineRule="auto"/>
                    <w:jc w:val="right"/>
                    <w:outlineLvl w:val="9"/>
                    <w:rPr>
                      <w:bCs/>
                      <w:color w:val="auto"/>
                      <w:sz w:val="21"/>
                      <w:szCs w:val="21"/>
                    </w:rPr>
                  </w:pPr>
                  <w:bookmarkStart w:id="21" w:name="_Toc510513650"/>
                  <w:bookmarkStart w:id="22" w:name="_Toc513795215"/>
                  <w:bookmarkStart w:id="23" w:name="_Toc512519575"/>
                  <w:r>
                    <w:rPr>
                      <w:rFonts w:hAnsi="宋体"/>
                      <w:bCs/>
                      <w:color w:val="auto"/>
                      <w:sz w:val="21"/>
                      <w:szCs w:val="21"/>
                    </w:rPr>
                    <w:t>日期</w:t>
                  </w:r>
                  <w:bookmarkEnd w:id="21"/>
                  <w:bookmarkEnd w:id="22"/>
                  <w:bookmarkEnd w:id="23"/>
                </w:p>
                <w:p>
                  <w:pPr>
                    <w:pStyle w:val="32"/>
                    <w:spacing w:line="240" w:lineRule="auto"/>
                    <w:jc w:val="left"/>
                    <w:outlineLvl w:val="9"/>
                    <w:rPr>
                      <w:bCs/>
                      <w:color w:val="auto"/>
                      <w:sz w:val="21"/>
                      <w:szCs w:val="21"/>
                    </w:rPr>
                  </w:pPr>
                  <w:bookmarkStart w:id="24" w:name="_Toc510513651"/>
                  <w:bookmarkStart w:id="25" w:name="_Toc513795216"/>
                  <w:bookmarkStart w:id="26" w:name="_Toc512519576"/>
                  <w:r>
                    <w:rPr>
                      <w:rFonts w:hAnsi="宋体"/>
                      <w:bCs/>
                      <w:color w:val="auto"/>
                      <w:sz w:val="21"/>
                      <w:szCs w:val="21"/>
                    </w:rPr>
                    <w:t>项目</w:t>
                  </w:r>
                  <w:bookmarkEnd w:id="24"/>
                  <w:bookmarkEnd w:id="25"/>
                  <w:bookmarkEnd w:id="26"/>
                </w:p>
              </w:tc>
              <w:tc>
                <w:tcPr>
                  <w:tcW w:w="6301" w:type="dxa"/>
                  <w:vAlign w:val="center"/>
                </w:tcPr>
                <w:p>
                  <w:pPr>
                    <w:pStyle w:val="32"/>
                    <w:spacing w:line="240" w:lineRule="auto"/>
                    <w:ind w:left="0" w:leftChars="0" w:firstLine="0" w:firstLineChars="0"/>
                    <w:jc w:val="center"/>
                    <w:outlineLvl w:val="9"/>
                    <w:rPr>
                      <w:bCs/>
                      <w:color w:val="000000" w:themeColor="text1"/>
                      <w:sz w:val="21"/>
                      <w:szCs w:val="21"/>
                      <w14:textFill>
                        <w14:solidFill>
                          <w14:schemeClr w14:val="tx1"/>
                        </w14:solidFill>
                      </w14:textFill>
                    </w:rPr>
                  </w:pPr>
                  <w:bookmarkStart w:id="27" w:name="_Toc513795217"/>
                  <w:bookmarkStart w:id="28" w:name="_Toc510513652"/>
                  <w:bookmarkStart w:id="29" w:name="_Toc512519577"/>
                  <w:r>
                    <w:rPr>
                      <w:rFonts w:hint="eastAsia" w:hAnsi="宋体"/>
                      <w:bCs/>
                      <w:color w:val="000000" w:themeColor="text1"/>
                      <w:sz w:val="21"/>
                      <w:szCs w:val="21"/>
                      <w:lang w:val="en-US" w:eastAsia="zh-CN"/>
                      <w14:textFill>
                        <w14:solidFill>
                          <w14:schemeClr w14:val="tx1"/>
                        </w14:solidFill>
                      </w14:textFill>
                    </w:rPr>
                    <w:t>3</w:t>
                  </w:r>
                  <w:r>
                    <w:rPr>
                      <w:rFonts w:hAnsi="宋体"/>
                      <w:bCs/>
                      <w:color w:val="000000" w:themeColor="text1"/>
                      <w:sz w:val="21"/>
                      <w:szCs w:val="21"/>
                      <w14:textFill>
                        <w14:solidFill>
                          <w14:schemeClr w14:val="tx1"/>
                        </w14:solidFill>
                      </w14:textFill>
                    </w:rPr>
                    <w:t>月</w:t>
                  </w:r>
                  <w:r>
                    <w:rPr>
                      <w:rFonts w:hint="eastAsia" w:hAnsi="宋体"/>
                      <w:bCs/>
                      <w:color w:val="000000" w:themeColor="text1"/>
                      <w:sz w:val="21"/>
                      <w:szCs w:val="21"/>
                      <w:lang w:val="en-US" w:eastAsia="zh-CN"/>
                      <w14:textFill>
                        <w14:solidFill>
                          <w14:schemeClr w14:val="tx1"/>
                        </w14:solidFill>
                      </w14:textFill>
                    </w:rPr>
                    <w:t>8</w:t>
                  </w:r>
                  <w:r>
                    <w:rPr>
                      <w:rFonts w:hAnsi="宋体"/>
                      <w:bCs/>
                      <w:color w:val="000000" w:themeColor="text1"/>
                      <w:sz w:val="21"/>
                      <w:szCs w:val="21"/>
                      <w14:textFill>
                        <w14:solidFill>
                          <w14:schemeClr w14:val="tx1"/>
                        </w14:solidFill>
                      </w14:textFill>
                    </w:rPr>
                    <w:t>日</w:t>
                  </w:r>
                  <w:bookmarkEnd w:id="27"/>
                  <w:bookmarkEnd w:id="28"/>
                  <w:bookmarkEnd w:id="29"/>
                  <w:bookmarkStart w:id="30" w:name="_Toc513795218"/>
                  <w:bookmarkStart w:id="31" w:name="_Toc510513653"/>
                  <w:bookmarkStart w:id="32" w:name="_Toc512519578"/>
                  <w:r>
                    <w:rPr>
                      <w:rFonts w:hint="eastAsia" w:hAnsi="宋体"/>
                      <w:bCs/>
                      <w:color w:val="000000" w:themeColor="text1"/>
                      <w:sz w:val="21"/>
                      <w:szCs w:val="21"/>
                      <w:lang w:val="en-US" w:eastAsia="zh-CN"/>
                      <w14:textFill>
                        <w14:solidFill>
                          <w14:schemeClr w14:val="tx1"/>
                        </w14:solidFill>
                      </w14:textFill>
                    </w:rPr>
                    <w:t>-3</w:t>
                  </w:r>
                  <w:r>
                    <w:rPr>
                      <w:rFonts w:hAnsi="宋体"/>
                      <w:bCs/>
                      <w:color w:val="000000" w:themeColor="text1"/>
                      <w:sz w:val="21"/>
                      <w:szCs w:val="21"/>
                      <w14:textFill>
                        <w14:solidFill>
                          <w14:schemeClr w14:val="tx1"/>
                        </w14:solidFill>
                      </w14:textFill>
                    </w:rPr>
                    <w:t>月</w:t>
                  </w:r>
                  <w:r>
                    <w:rPr>
                      <w:rFonts w:hint="eastAsia" w:hAnsi="宋体"/>
                      <w:bCs/>
                      <w:color w:val="000000" w:themeColor="text1"/>
                      <w:sz w:val="21"/>
                      <w:szCs w:val="21"/>
                      <w:lang w:val="en-US" w:eastAsia="zh-CN"/>
                      <w14:textFill>
                        <w14:solidFill>
                          <w14:schemeClr w14:val="tx1"/>
                        </w14:solidFill>
                      </w14:textFill>
                    </w:rPr>
                    <w:t>9</w:t>
                  </w:r>
                  <w:r>
                    <w:rPr>
                      <w:rFonts w:hAnsi="宋体"/>
                      <w:bCs/>
                      <w:color w:val="000000" w:themeColor="text1"/>
                      <w:sz w:val="21"/>
                      <w:szCs w:val="21"/>
                      <w14:textFill>
                        <w14:solidFill>
                          <w14:schemeClr w14:val="tx1"/>
                        </w14:solidFill>
                      </w14:textFill>
                    </w:rPr>
                    <w:t>日</w:t>
                  </w:r>
                  <w:bookmarkEnd w:id="30"/>
                  <w:bookmarkEnd w:id="31"/>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32"/>
                    <w:spacing w:line="240" w:lineRule="auto"/>
                    <w:ind w:firstLine="0"/>
                    <w:outlineLvl w:val="9"/>
                    <w:rPr>
                      <w:bCs/>
                      <w:color w:val="auto"/>
                      <w:sz w:val="21"/>
                      <w:szCs w:val="21"/>
                    </w:rPr>
                  </w:pPr>
                  <w:bookmarkStart w:id="33" w:name="_Toc512519579"/>
                  <w:bookmarkStart w:id="34" w:name="_Toc510513654"/>
                  <w:bookmarkStart w:id="35" w:name="_Toc513795219"/>
                  <w:r>
                    <w:rPr>
                      <w:rFonts w:hAnsi="宋体"/>
                      <w:bCs/>
                      <w:color w:val="auto"/>
                      <w:sz w:val="21"/>
                      <w:szCs w:val="21"/>
                    </w:rPr>
                    <w:t>环评申报时</w:t>
                  </w:r>
                  <w:r>
                    <w:rPr>
                      <w:rFonts w:hint="eastAsia" w:hAnsi="宋体"/>
                      <w:bCs/>
                      <w:color w:val="auto"/>
                      <w:sz w:val="21"/>
                      <w:szCs w:val="21"/>
                      <w:lang w:eastAsia="zh-CN"/>
                    </w:rPr>
                    <w:t>销售</w:t>
                  </w:r>
                  <w:r>
                    <w:rPr>
                      <w:rFonts w:hAnsi="宋体"/>
                      <w:bCs/>
                      <w:color w:val="auto"/>
                      <w:sz w:val="21"/>
                      <w:szCs w:val="21"/>
                    </w:rPr>
                    <w:t>能力</w:t>
                  </w:r>
                  <w:bookmarkEnd w:id="33"/>
                  <w:bookmarkEnd w:id="34"/>
                  <w:bookmarkEnd w:id="35"/>
                </w:p>
                <w:p>
                  <w:pPr>
                    <w:pStyle w:val="32"/>
                    <w:spacing w:line="240" w:lineRule="auto"/>
                    <w:ind w:firstLine="0"/>
                    <w:outlineLvl w:val="9"/>
                    <w:rPr>
                      <w:bCs/>
                      <w:color w:val="auto"/>
                      <w:sz w:val="21"/>
                      <w:szCs w:val="21"/>
                    </w:rPr>
                  </w:pPr>
                  <w:bookmarkStart w:id="36" w:name="_Toc513795220"/>
                  <w:bookmarkStart w:id="37" w:name="_Toc510513655"/>
                  <w:bookmarkStart w:id="38" w:name="_Toc512519580"/>
                  <w:r>
                    <w:rPr>
                      <w:rFonts w:hAnsi="宋体"/>
                      <w:bCs/>
                      <w:color w:val="auto"/>
                      <w:sz w:val="21"/>
                      <w:szCs w:val="21"/>
                    </w:rPr>
                    <w:t>（按年生产</w:t>
                  </w:r>
                  <w:r>
                    <w:rPr>
                      <w:rFonts w:hint="eastAsia"/>
                      <w:bCs/>
                      <w:color w:val="auto"/>
                      <w:sz w:val="21"/>
                      <w:szCs w:val="21"/>
                      <w:lang w:val="en-US" w:eastAsia="zh-CN"/>
                    </w:rPr>
                    <w:t>300</w:t>
                  </w:r>
                  <w:r>
                    <w:rPr>
                      <w:rFonts w:hAnsi="宋体"/>
                      <w:bCs/>
                      <w:color w:val="auto"/>
                      <w:sz w:val="21"/>
                      <w:szCs w:val="21"/>
                    </w:rPr>
                    <w:t>日计）</w:t>
                  </w:r>
                  <w:bookmarkEnd w:id="36"/>
                  <w:bookmarkEnd w:id="37"/>
                  <w:bookmarkEnd w:id="38"/>
                </w:p>
              </w:tc>
              <w:tc>
                <w:tcPr>
                  <w:tcW w:w="6301" w:type="dxa"/>
                  <w:vAlign w:val="center"/>
                </w:tcPr>
                <w:p>
                  <w:pPr>
                    <w:pStyle w:val="32"/>
                    <w:spacing w:line="240" w:lineRule="auto"/>
                    <w:ind w:left="0" w:leftChars="0" w:firstLine="0" w:firstLineChars="0"/>
                    <w:jc w:val="center"/>
                    <w:outlineLvl w:val="9"/>
                    <w:rPr>
                      <w:bCs/>
                      <w:color w:val="auto"/>
                      <w:sz w:val="21"/>
                      <w:szCs w:val="21"/>
                    </w:rPr>
                  </w:pPr>
                  <w:r>
                    <w:rPr>
                      <w:bCs/>
                      <w:color w:val="auto"/>
                      <w:sz w:val="21"/>
                      <w:szCs w:val="21"/>
                    </w:rPr>
                    <w:t>实木楼梯200套、实木护栏150套、配套家具80套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32"/>
                    <w:spacing w:line="240" w:lineRule="auto"/>
                    <w:ind w:firstLine="0"/>
                    <w:outlineLvl w:val="9"/>
                    <w:rPr>
                      <w:rFonts w:hAnsi="宋体"/>
                      <w:bCs/>
                      <w:color w:val="auto"/>
                      <w:sz w:val="21"/>
                      <w:szCs w:val="21"/>
                    </w:rPr>
                  </w:pPr>
                  <w:bookmarkStart w:id="39" w:name="_Toc510513657"/>
                  <w:bookmarkStart w:id="40" w:name="_Toc513795222"/>
                  <w:bookmarkStart w:id="41" w:name="_Toc512519582"/>
                  <w:r>
                    <w:rPr>
                      <w:rFonts w:hAnsi="宋体"/>
                      <w:bCs/>
                      <w:color w:val="auto"/>
                      <w:sz w:val="21"/>
                      <w:szCs w:val="21"/>
                    </w:rPr>
                    <w:t>实际</w:t>
                  </w:r>
                  <w:r>
                    <w:rPr>
                      <w:rFonts w:hint="eastAsia" w:hAnsi="宋体"/>
                      <w:bCs/>
                      <w:color w:val="auto"/>
                      <w:sz w:val="21"/>
                      <w:szCs w:val="21"/>
                      <w:lang w:eastAsia="zh-CN"/>
                    </w:rPr>
                    <w:t>销售</w:t>
                  </w:r>
                  <w:r>
                    <w:rPr>
                      <w:rFonts w:hAnsi="宋体"/>
                      <w:bCs/>
                      <w:color w:val="auto"/>
                      <w:sz w:val="21"/>
                      <w:szCs w:val="21"/>
                    </w:rPr>
                    <w:t>能力</w:t>
                  </w:r>
                  <w:bookmarkEnd w:id="39"/>
                  <w:bookmarkEnd w:id="40"/>
                  <w:bookmarkEnd w:id="41"/>
                  <w:bookmarkStart w:id="42" w:name="_Toc510513658"/>
                  <w:bookmarkStart w:id="43" w:name="_Toc513795223"/>
                  <w:bookmarkStart w:id="44" w:name="_Toc512519583"/>
                </w:p>
                <w:p>
                  <w:pPr>
                    <w:pStyle w:val="32"/>
                    <w:spacing w:line="240" w:lineRule="auto"/>
                    <w:ind w:firstLine="0"/>
                    <w:outlineLvl w:val="9"/>
                    <w:rPr>
                      <w:bCs/>
                      <w:color w:val="auto"/>
                      <w:sz w:val="21"/>
                      <w:szCs w:val="21"/>
                    </w:rPr>
                  </w:pPr>
                  <w:r>
                    <w:rPr>
                      <w:rFonts w:hAnsi="宋体"/>
                      <w:bCs/>
                      <w:color w:val="auto"/>
                      <w:sz w:val="21"/>
                      <w:szCs w:val="21"/>
                    </w:rPr>
                    <w:t>（按年生产</w:t>
                  </w:r>
                  <w:r>
                    <w:rPr>
                      <w:rFonts w:hint="eastAsia"/>
                      <w:bCs/>
                      <w:color w:val="auto"/>
                      <w:sz w:val="21"/>
                      <w:szCs w:val="21"/>
                    </w:rPr>
                    <w:t>3</w:t>
                  </w:r>
                  <w:r>
                    <w:rPr>
                      <w:rFonts w:hint="eastAsia"/>
                      <w:bCs/>
                      <w:color w:val="auto"/>
                      <w:sz w:val="21"/>
                      <w:szCs w:val="21"/>
                      <w:lang w:val="en-US" w:eastAsia="zh-CN"/>
                    </w:rPr>
                    <w:t>00</w:t>
                  </w:r>
                  <w:r>
                    <w:rPr>
                      <w:rFonts w:hint="eastAsia"/>
                      <w:bCs/>
                      <w:color w:val="auto"/>
                      <w:sz w:val="21"/>
                      <w:szCs w:val="21"/>
                    </w:rPr>
                    <w:t>天</w:t>
                  </w:r>
                  <w:r>
                    <w:rPr>
                      <w:rFonts w:hAnsi="宋体"/>
                      <w:bCs/>
                      <w:color w:val="auto"/>
                      <w:sz w:val="21"/>
                      <w:szCs w:val="21"/>
                    </w:rPr>
                    <w:t>计）</w:t>
                  </w:r>
                  <w:bookmarkEnd w:id="42"/>
                  <w:bookmarkEnd w:id="43"/>
                  <w:bookmarkEnd w:id="44"/>
                </w:p>
              </w:tc>
              <w:tc>
                <w:tcPr>
                  <w:tcW w:w="6301" w:type="dxa"/>
                  <w:vAlign w:val="center"/>
                </w:tcPr>
                <w:p>
                  <w:pPr>
                    <w:pStyle w:val="32"/>
                    <w:spacing w:line="240" w:lineRule="auto"/>
                    <w:ind w:left="0" w:leftChars="0" w:firstLine="0" w:firstLineChars="0"/>
                    <w:jc w:val="center"/>
                    <w:outlineLvl w:val="9"/>
                    <w:rPr>
                      <w:bCs/>
                      <w:color w:val="auto"/>
                      <w:sz w:val="21"/>
                      <w:szCs w:val="21"/>
                    </w:rPr>
                  </w:pPr>
                  <w:r>
                    <w:rPr>
                      <w:bCs/>
                      <w:color w:val="auto"/>
                      <w:sz w:val="21"/>
                      <w:szCs w:val="21"/>
                    </w:rPr>
                    <w:t>实木楼梯200套、实木护栏150套、配套家具80套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2"/>
                    <w:spacing w:line="240" w:lineRule="auto"/>
                    <w:ind w:firstLine="0"/>
                    <w:outlineLvl w:val="9"/>
                    <w:rPr>
                      <w:bCs/>
                      <w:color w:val="auto"/>
                      <w:sz w:val="21"/>
                      <w:szCs w:val="21"/>
                    </w:rPr>
                  </w:pPr>
                  <w:bookmarkStart w:id="45" w:name="_Toc513795225"/>
                  <w:bookmarkStart w:id="46" w:name="_Toc512519585"/>
                  <w:bookmarkStart w:id="47" w:name="_Toc510513660"/>
                  <w:r>
                    <w:rPr>
                      <w:rFonts w:hAnsi="宋体"/>
                      <w:bCs/>
                      <w:color w:val="auto"/>
                      <w:sz w:val="21"/>
                      <w:szCs w:val="21"/>
                    </w:rPr>
                    <w:t>实际</w:t>
                  </w:r>
                  <w:bookmarkEnd w:id="45"/>
                  <w:bookmarkEnd w:id="46"/>
                  <w:bookmarkEnd w:id="47"/>
                  <w:r>
                    <w:rPr>
                      <w:rFonts w:hint="eastAsia" w:hAnsi="宋体"/>
                      <w:bCs/>
                      <w:color w:val="auto"/>
                      <w:sz w:val="21"/>
                      <w:szCs w:val="21"/>
                    </w:rPr>
                    <w:t>供应量</w:t>
                  </w:r>
                </w:p>
              </w:tc>
              <w:tc>
                <w:tcPr>
                  <w:tcW w:w="6301" w:type="dxa"/>
                  <w:vAlign w:val="center"/>
                </w:tcPr>
                <w:p>
                  <w:pPr>
                    <w:jc w:val="center"/>
                    <w:rPr>
                      <w:sz w:val="21"/>
                      <w:szCs w:val="21"/>
                    </w:rPr>
                  </w:pPr>
                  <w:r>
                    <w:rPr>
                      <w:bCs/>
                      <w:color w:val="auto"/>
                      <w:sz w:val="21"/>
                      <w:szCs w:val="21"/>
                    </w:rPr>
                    <w:t>实木楼梯</w:t>
                  </w:r>
                  <w:r>
                    <w:rPr>
                      <w:rFonts w:hint="eastAsia"/>
                      <w:bCs/>
                      <w:color w:val="auto"/>
                      <w:sz w:val="21"/>
                      <w:szCs w:val="21"/>
                      <w:lang w:val="en-US" w:eastAsia="zh-CN"/>
                    </w:rPr>
                    <w:t>1</w:t>
                  </w:r>
                  <w:r>
                    <w:rPr>
                      <w:bCs/>
                      <w:color w:val="auto"/>
                      <w:sz w:val="21"/>
                      <w:szCs w:val="21"/>
                    </w:rPr>
                    <w:t>套</w:t>
                  </w:r>
                  <w:r>
                    <w:rPr>
                      <w:rFonts w:hint="eastAsia"/>
                      <w:bCs/>
                      <w:color w:val="auto"/>
                      <w:sz w:val="21"/>
                      <w:szCs w:val="21"/>
                      <w:lang w:eastAsia="zh-CN"/>
                    </w:rPr>
                    <w:t>、</w:t>
                  </w:r>
                  <w:r>
                    <w:rPr>
                      <w:bCs/>
                      <w:color w:val="auto"/>
                      <w:sz w:val="21"/>
                      <w:szCs w:val="21"/>
                    </w:rPr>
                    <w:t>实木护栏</w:t>
                  </w:r>
                  <w:r>
                    <w:rPr>
                      <w:rFonts w:hint="eastAsia"/>
                      <w:bCs/>
                      <w:color w:val="auto"/>
                      <w:sz w:val="21"/>
                      <w:szCs w:val="21"/>
                      <w:lang w:val="en-US" w:eastAsia="zh-CN"/>
                    </w:rPr>
                    <w:t>1</w:t>
                  </w:r>
                  <w:r>
                    <w:rPr>
                      <w:bCs/>
                      <w:color w:val="auto"/>
                      <w:sz w:val="21"/>
                      <w:szCs w:val="21"/>
                    </w:rPr>
                    <w:t>套、配套家具</w:t>
                  </w:r>
                  <w:r>
                    <w:rPr>
                      <w:rFonts w:hint="eastAsia"/>
                      <w:bCs/>
                      <w:color w:val="auto"/>
                      <w:sz w:val="21"/>
                      <w:szCs w:val="21"/>
                      <w:lang w:val="en-US" w:eastAsia="zh-CN"/>
                    </w:rPr>
                    <w:t>1</w:t>
                  </w:r>
                  <w:r>
                    <w:rPr>
                      <w:bCs/>
                      <w:color w:val="auto"/>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2"/>
                    <w:spacing w:line="240" w:lineRule="auto"/>
                    <w:ind w:firstLine="0"/>
                    <w:outlineLvl w:val="9"/>
                    <w:rPr>
                      <w:rFonts w:hAnsi="宋体"/>
                      <w:bCs/>
                      <w:color w:val="auto"/>
                      <w:sz w:val="21"/>
                      <w:szCs w:val="21"/>
                    </w:rPr>
                  </w:pPr>
                  <w:r>
                    <w:rPr>
                      <w:rFonts w:hint="eastAsia" w:hAnsi="宋体"/>
                      <w:bCs/>
                      <w:color w:val="auto"/>
                      <w:sz w:val="21"/>
                      <w:szCs w:val="21"/>
                      <w:lang w:eastAsia="zh-CN"/>
                    </w:rPr>
                    <w:t>平均</w:t>
                  </w:r>
                  <w:r>
                    <w:rPr>
                      <w:rFonts w:hint="eastAsia" w:hAnsi="宋体"/>
                      <w:bCs/>
                      <w:color w:val="auto"/>
                      <w:sz w:val="21"/>
                      <w:szCs w:val="21"/>
                    </w:rPr>
                    <w:t>生产负荷</w:t>
                  </w:r>
                </w:p>
              </w:tc>
              <w:tc>
                <w:tcPr>
                  <w:tcW w:w="6301" w:type="dxa"/>
                  <w:vAlign w:val="center"/>
                </w:tcPr>
                <w:p>
                  <w:pPr>
                    <w:jc w:val="center"/>
                    <w:rPr>
                      <w:sz w:val="21"/>
                      <w:szCs w:val="21"/>
                    </w:rPr>
                  </w:pPr>
                  <w:r>
                    <w:rPr>
                      <w:rFonts w:hint="eastAsia"/>
                      <w:sz w:val="21"/>
                      <w:szCs w:val="21"/>
                      <w:lang w:val="en-US" w:eastAsia="zh-CN"/>
                    </w:rPr>
                    <w:t>95.5</w:t>
                  </w:r>
                  <w:r>
                    <w:rPr>
                      <w:rFonts w:hint="eastAsia"/>
                      <w:sz w:val="21"/>
                      <w:szCs w:val="21"/>
                    </w:rPr>
                    <w:t>%</w:t>
                  </w:r>
                </w:p>
              </w:tc>
            </w:tr>
          </w:tbl>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6" w:hRule="atLeast"/>
          <w:jc w:val="center"/>
        </w:trPr>
        <w:tc>
          <w:tcPr>
            <w:tcW w:w="9571" w:type="dxa"/>
          </w:tcPr>
          <w:p>
            <w:pPr>
              <w:spacing w:line="480" w:lineRule="exact"/>
              <w:jc w:val="left"/>
              <w:rPr>
                <w:b/>
                <w:sz w:val="24"/>
              </w:rPr>
            </w:pPr>
            <w:r>
              <w:rPr>
                <w:rFonts w:hint="eastAsia"/>
                <w:b/>
                <w:sz w:val="24"/>
              </w:rPr>
              <w:t>验收监测结果：</w:t>
            </w:r>
          </w:p>
          <w:p>
            <w:pPr>
              <w:spacing w:line="480" w:lineRule="exact"/>
              <w:ind w:firstLine="482" w:firstLineChars="200"/>
              <w:jc w:val="left"/>
              <w:rPr>
                <w:rFonts w:hint="eastAsia" w:ascii="Times New Roman" w:cs="Times New Roman" w:eastAsiaTheme="minorEastAsia"/>
                <w:b/>
                <w:color w:val="0000FF"/>
                <w:lang w:eastAsia="zh-CN"/>
              </w:rPr>
            </w:pPr>
            <w:r>
              <w:rPr>
                <w:rFonts w:hint="eastAsia"/>
                <w:b/>
                <w:sz w:val="24"/>
              </w:rPr>
              <w:t>1、</w:t>
            </w:r>
            <w:r>
              <w:rPr>
                <w:rFonts w:hint="eastAsia"/>
                <w:b/>
                <w:sz w:val="24"/>
                <w:lang w:eastAsia="zh-CN"/>
              </w:rPr>
              <w:t>无</w:t>
            </w:r>
            <w:r>
              <w:rPr>
                <w:b/>
                <w:sz w:val="24"/>
              </w:rPr>
              <w:t>组织废气</w:t>
            </w:r>
          </w:p>
          <w:p>
            <w:pPr>
              <w:pStyle w:val="2"/>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2</w:t>
            </w:r>
            <w:r>
              <w:rPr>
                <w:rFonts w:ascii="Times New Roman" w:cs="Times New Roman"/>
                <w:b/>
                <w:color w:val="auto"/>
              </w:rPr>
              <w:t xml:space="preserve"> 无组织监测结果一览表</w:t>
            </w:r>
          </w:p>
          <w:tbl>
            <w:tblPr>
              <w:tblStyle w:val="21"/>
              <w:tblW w:w="48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7"/>
              <w:gridCol w:w="1607"/>
              <w:gridCol w:w="695"/>
              <w:gridCol w:w="1221"/>
              <w:gridCol w:w="1221"/>
              <w:gridCol w:w="1221"/>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7" w:type="pct"/>
                  <w:gridSpan w:val="3"/>
                </w:tcPr>
                <w:p>
                  <w:pPr>
                    <w:keepNext w:val="0"/>
                    <w:keepLines w:val="0"/>
                    <w:pageBreakBefore w:val="0"/>
                    <w:widowControl w:val="0"/>
                    <w:shd w:val="clear"/>
                    <w:kinsoku/>
                    <w:wordWrap/>
                    <w:overflowPunct/>
                    <w:topLinePunct w:val="0"/>
                    <w:autoSpaceDE/>
                    <w:autoSpaceDN/>
                    <w:bidi w:val="0"/>
                    <w:adjustRightInd/>
                    <w:snapToGrid/>
                    <w:spacing w:line="240" w:lineRule="auto"/>
                    <w:jc w:val="right"/>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mc:AlternateContent>
                      <mc:Choice Requires="wps">
                        <w:drawing>
                          <wp:anchor distT="0" distB="0" distL="114300" distR="114300" simplePos="0" relativeHeight="251660288" behindDoc="0" locked="0" layoutInCell="1" allowOverlap="1">
                            <wp:simplePos x="0" y="0"/>
                            <wp:positionH relativeFrom="column">
                              <wp:posOffset>-41275</wp:posOffset>
                            </wp:positionH>
                            <wp:positionV relativeFrom="paragraph">
                              <wp:posOffset>16510</wp:posOffset>
                            </wp:positionV>
                            <wp:extent cx="2570480" cy="376555"/>
                            <wp:effectExtent l="635" t="4445" r="635" b="19050"/>
                            <wp:wrapNone/>
                            <wp:docPr id="87" name="直接连接符 87"/>
                            <wp:cNvGraphicFramePr/>
                            <a:graphic xmlns:a="http://schemas.openxmlformats.org/drawingml/2006/main">
                              <a:graphicData uri="http://schemas.microsoft.com/office/word/2010/wordprocessingShape">
                                <wps:wsp>
                                  <wps:cNvCnPr/>
                                  <wps:spPr>
                                    <a:xfrm>
                                      <a:off x="0" y="0"/>
                                      <a:ext cx="2570480" cy="37655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25pt;margin-top:1.3pt;height:29.65pt;width:202.4pt;z-index:251660288;mso-width-relative:page;mso-height-relative:page;" filled="f" stroked="t" coordsize="21600,21600" o:gfxdata="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eDHQ9YAAAAHAQAADwAAAAAAAAABACAAAAAiAAAAZHJzL2Rvd25yZXYueG1s&#10;UEsBAhQAFAAAAAgAh07iQNTwIXf6AQAA6wMAAA4AAAAAAAAAAQAgAAAAJQEAAGRycy9lMm9Eb2Mu&#10;eG1sUEsFBgAAAAAGAAYAWQEAAJEFAAAAAA==&#10;">
                            <v:fill on="f" focussize="0,0"/>
                            <v:stroke color="#000000" joinstyle="round"/>
                            <v:imagedata o:title=""/>
                            <o:lock v:ext="edit" aspectratio="f"/>
                          </v:line>
                        </w:pict>
                      </mc:Fallback>
                    </mc:AlternateContent>
                  </w:r>
                  <w:r>
                    <w:rPr>
                      <w:rFonts w:hint="default" w:ascii="Times New Roman" w:hAnsi="Times New Roman" w:eastAsia="宋体" w:cs="Times New Roman"/>
                      <w:b w:val="0"/>
                      <w:bCs/>
                      <w:sz w:val="21"/>
                      <w:szCs w:val="21"/>
                      <w:highlight w:val="none"/>
                      <w:lang w:val="en-US" w:eastAsia="zh-CN"/>
                    </w:rPr>
                    <w:t xml:space="preserve">            监测位置</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检测项目、日期及频次</w:t>
                  </w:r>
                </w:p>
              </w:tc>
              <w:tc>
                <w:tcPr>
                  <w:tcW w:w="68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上风向G</w:t>
                  </w:r>
                  <w:r>
                    <w:rPr>
                      <w:rFonts w:hint="eastAsia" w:cs="Times New Roman"/>
                      <w:b w:val="0"/>
                      <w:bCs/>
                      <w:sz w:val="21"/>
                      <w:szCs w:val="21"/>
                      <w:highlight w:val="none"/>
                      <w:lang w:val="en-US" w:eastAsia="zh-CN"/>
                    </w:rPr>
                    <w:t>1</w:t>
                  </w:r>
                </w:p>
              </w:tc>
              <w:tc>
                <w:tcPr>
                  <w:tcW w:w="68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2</w:t>
                  </w:r>
                </w:p>
              </w:tc>
              <w:tc>
                <w:tcPr>
                  <w:tcW w:w="68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3</w:t>
                  </w:r>
                </w:p>
              </w:tc>
              <w:tc>
                <w:tcPr>
                  <w:tcW w:w="682"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二甲苯</w:t>
                  </w:r>
                </w:p>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w:t>
                  </w:r>
                </w:p>
              </w:tc>
              <w:tc>
                <w:tcPr>
                  <w:tcW w:w="895" w:type="pct"/>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ascii="Times New Roman" w:hAnsi="Times New Roman" w:eastAsia="Times New Roman" w:cs="Times New Roman"/>
                      <w:color w:val="000000"/>
                      <w:spacing w:val="0"/>
                      <w:w w:val="100"/>
                      <w:position w:val="0"/>
                      <w:sz w:val="21"/>
                      <w:szCs w:val="21"/>
                      <w:lang w:val="en-US" w:eastAsia="en-US" w:bidi="en-US"/>
                    </w:rPr>
                    <w:t>2022.03.08</w:t>
                  </w: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①</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②</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③</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2022.03.09</w:t>
                  </w: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④</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⑤</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⑥</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颗粒物</w:t>
                  </w:r>
                </w:p>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w:t>
                  </w:r>
                </w:p>
              </w:tc>
              <w:tc>
                <w:tcPr>
                  <w:tcW w:w="895" w:type="pct"/>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ascii="Times New Roman" w:hAnsi="Times New Roman" w:eastAsia="Times New Roman" w:cs="Times New Roman"/>
                      <w:color w:val="000000"/>
                      <w:spacing w:val="0"/>
                      <w:w w:val="100"/>
                      <w:position w:val="0"/>
                      <w:sz w:val="21"/>
                      <w:szCs w:val="21"/>
                      <w:lang w:val="en-US" w:eastAsia="en-US" w:bidi="en-US"/>
                    </w:rPr>
                    <w:t>2022.03.08</w:t>
                  </w: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宋体" w:hAnsi="宋体" w:eastAsia="宋体" w:cs="宋体"/>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①</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0.186</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0.259</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0.276</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宋体" w:hAnsi="宋体" w:eastAsia="宋体" w:cs="宋体"/>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②</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0.164</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0.283</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0.258</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宋体" w:hAnsi="宋体" w:eastAsia="宋体" w:cs="宋体"/>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③</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0.167</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0.281</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0.263</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ascii="Times New Roman" w:hAnsi="Times New Roman" w:eastAsia="Times New Roman" w:cs="Times New Roman"/>
                      <w:color w:val="000000"/>
                      <w:spacing w:val="0"/>
                      <w:w w:val="100"/>
                      <w:position w:val="0"/>
                      <w:sz w:val="21"/>
                      <w:szCs w:val="21"/>
                      <w:lang w:val="en-US" w:eastAsia="en-US" w:bidi="en-US"/>
                    </w:rPr>
                    <w:t>2022.03.09</w:t>
                  </w: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宋体" w:hAnsi="宋体" w:eastAsia="宋体" w:cs="宋体"/>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④</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0.174</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0.264</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0.268</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宋体" w:hAnsi="宋体" w:eastAsia="宋体" w:cs="宋体"/>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⑤</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0.169</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0.261</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0.285</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895" w:type="pct"/>
                  <w:vMerge w:val="continue"/>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387"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宋体" w:hAnsi="宋体" w:eastAsia="宋体" w:cs="宋体"/>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⑥</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0.166</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0.281</w:t>
                  </w:r>
                </w:p>
              </w:tc>
              <w:tc>
                <w:tcPr>
                  <w:tcW w:w="68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0.256</w:t>
                  </w:r>
                </w:p>
              </w:tc>
              <w:tc>
                <w:tcPr>
                  <w:tcW w:w="682"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0.257</w:t>
                  </w:r>
                </w:p>
              </w:tc>
            </w:tr>
          </w:tbl>
          <w:p>
            <w:pPr>
              <w:spacing w:line="360" w:lineRule="auto"/>
              <w:ind w:firstLine="480" w:firstLineChars="200"/>
              <w:rPr>
                <w:rFonts w:eastAsia="宋体" w:cs="Times New Roman"/>
                <w:bCs/>
                <w:sz w:val="24"/>
              </w:rPr>
            </w:pPr>
            <w:r>
              <w:rPr>
                <w:rFonts w:eastAsia="宋体" w:cs="Times New Roman"/>
                <w:bCs/>
                <w:sz w:val="24"/>
              </w:rPr>
              <w:t>根据安徽川达检测科技有限公司出具的监测报告可知，实际营运过程中，</w:t>
            </w:r>
            <w:r>
              <w:rPr>
                <w:rFonts w:hint="eastAsia" w:eastAsia="宋体" w:cs="Times New Roman"/>
                <w:bCs/>
                <w:sz w:val="24"/>
              </w:rPr>
              <w:t>无组织排放的</w:t>
            </w:r>
            <w:r>
              <w:rPr>
                <w:rFonts w:hint="eastAsia" w:eastAsia="宋体" w:cs="Times New Roman"/>
                <w:bCs/>
                <w:sz w:val="24"/>
                <w:lang w:eastAsia="zh-CN"/>
              </w:rPr>
              <w:t>颗粒物、二甲苯浓度</w:t>
            </w:r>
            <w:r>
              <w:rPr>
                <w:rFonts w:hint="eastAsia" w:ascii="Times New Roman" w:hAnsi="Times New Roman" w:cs="Times New Roman"/>
                <w:sz w:val="24"/>
                <w:lang w:val="zh-TW" w:eastAsia="zh-CN"/>
              </w:rPr>
              <w:t>能够满足</w:t>
            </w:r>
            <w:r>
              <w:rPr>
                <w:rFonts w:hint="eastAsia" w:ascii="Times New Roman" w:hAnsi="Times New Roman" w:cs="Times New Roman"/>
                <w:sz w:val="24"/>
                <w:lang w:val="zh-TW" w:eastAsia="zh-TW"/>
              </w:rPr>
              <w:t>上海市地方标准《大气污染物综合排放标准》</w:t>
            </w:r>
            <w:r>
              <w:rPr>
                <w:rFonts w:hint="eastAsia" w:ascii="Times New Roman" w:hAnsi="Times New Roman" w:cs="Times New Roman"/>
                <w:sz w:val="24"/>
                <w:lang w:val="zh-TW" w:eastAsia="zh-CN"/>
              </w:rPr>
              <w:t>（</w:t>
            </w:r>
            <w:r>
              <w:rPr>
                <w:rFonts w:hint="eastAsia" w:ascii="Times New Roman" w:hAnsi="Times New Roman" w:cs="Times New Roman"/>
                <w:sz w:val="24"/>
                <w:lang w:val="zh-TW" w:eastAsia="zh-TW"/>
              </w:rPr>
              <w:t>DB31/933-2015</w:t>
            </w:r>
            <w:r>
              <w:rPr>
                <w:rFonts w:hint="eastAsia" w:ascii="Times New Roman" w:hAnsi="Times New Roman" w:cs="Times New Roman"/>
                <w:sz w:val="24"/>
                <w:lang w:val="zh-TW" w:eastAsia="zh-CN"/>
              </w:rPr>
              <w:t>）</w:t>
            </w:r>
            <w:r>
              <w:rPr>
                <w:rFonts w:hint="eastAsia" w:ascii="Times New Roman" w:hAnsi="Times New Roman" w:cs="Times New Roman"/>
                <w:sz w:val="24"/>
                <w:lang w:val="zh-TW" w:eastAsia="zh-TW"/>
              </w:rPr>
              <w:t>中的标准要求</w:t>
            </w:r>
            <w:r>
              <w:rPr>
                <w:rFonts w:hint="eastAsia" w:cs="Times New Roman"/>
                <w:b w:val="0"/>
                <w:bCs w:val="0"/>
                <w:sz w:val="24"/>
                <w:lang w:val="en-US" w:eastAsia="zh-CN"/>
              </w:rPr>
              <w:t>。</w:t>
            </w:r>
          </w:p>
          <w:p>
            <w:pPr>
              <w:pStyle w:val="2"/>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3</w:t>
            </w:r>
            <w:r>
              <w:rPr>
                <w:rFonts w:ascii="Times New Roman" w:cs="Times New Roman"/>
                <w:b/>
                <w:color w:val="auto"/>
              </w:rPr>
              <w:t xml:space="preserve"> 无组织监测结果一览表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5"/>
              <w:gridCol w:w="1471"/>
              <w:gridCol w:w="639"/>
              <w:gridCol w:w="1117"/>
              <w:gridCol w:w="1117"/>
              <w:gridCol w:w="1117"/>
              <w:gridCol w:w="1121"/>
              <w:gridCol w:w="1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04"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mc:AlternateContent>
                      <mc:Choice Requires="wps">
                        <w:drawing>
                          <wp:anchor distT="0" distB="0" distL="114300" distR="114300" simplePos="0" relativeHeight="251685888" behindDoc="0" locked="0" layoutInCell="1" allowOverlap="1">
                            <wp:simplePos x="0" y="0"/>
                            <wp:positionH relativeFrom="column">
                              <wp:posOffset>-41275</wp:posOffset>
                            </wp:positionH>
                            <wp:positionV relativeFrom="paragraph">
                              <wp:posOffset>16510</wp:posOffset>
                            </wp:positionV>
                            <wp:extent cx="2334260" cy="371475"/>
                            <wp:effectExtent l="635" t="4445" r="8255" b="5080"/>
                            <wp:wrapNone/>
                            <wp:docPr id="27" name="直接连接符 27"/>
                            <wp:cNvGraphicFramePr/>
                            <a:graphic xmlns:a="http://schemas.openxmlformats.org/drawingml/2006/main">
                              <a:graphicData uri="http://schemas.microsoft.com/office/word/2010/wordprocessingShape">
                                <wps:wsp>
                                  <wps:cNvCnPr/>
                                  <wps:spPr>
                                    <a:xfrm>
                                      <a:off x="0" y="0"/>
                                      <a:ext cx="2334260" cy="3714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25pt;margin-top:1.3pt;height:29.25pt;width:183.8pt;z-index:251685888;mso-width-relative:page;mso-height-relative:page;" filled="f" stroked="t" coordsize="21600,21600" o:gfxdata="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BLex9UAAAAHAQAADwAAAAAAAAABACAAAAAiAAAAZHJzL2Rvd25yZXYueG1s&#10;UEsBAhQAFAAAAAgAh07iQAou14H7AQAA6wMAAA4AAAAAAAAAAQAgAAAAJAEAAGRycy9lMm9Eb2Mu&#10;eG1sUEsFBgAAAAAGAAYAWQEAAJEFAAAAAA==&#10;">
                            <v:fill on="f" focussize="0,0"/>
                            <v:stroke color="#000000" joinstyle="round"/>
                            <v:imagedata o:title=""/>
                            <o:lock v:ext="edit" aspectratio="f"/>
                          </v:line>
                        </w:pict>
                      </mc:Fallback>
                    </mc:AlternateContent>
                  </w:r>
                  <w:r>
                    <w:rPr>
                      <w:rFonts w:hint="default" w:ascii="Times New Roman" w:hAnsi="Times New Roman" w:eastAsia="宋体" w:cs="Times New Roman"/>
                      <w:b w:val="0"/>
                      <w:bCs/>
                      <w:sz w:val="21"/>
                      <w:szCs w:val="21"/>
                      <w:highlight w:val="none"/>
                      <w:lang w:val="en-US" w:eastAsia="zh-CN"/>
                    </w:rPr>
                    <w:t xml:space="preserve">            监测位置</w:t>
                  </w:r>
                </w:p>
                <w:p>
                  <w:pPr>
                    <w:keepNext w:val="0"/>
                    <w:keepLines w:val="0"/>
                    <w:pageBreakBefore w:val="0"/>
                    <w:widowControl w:val="0"/>
                    <w:shd w:val="clear"/>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检测项目、日期及频次</w:t>
                  </w:r>
                </w:p>
              </w:tc>
              <w:tc>
                <w:tcPr>
                  <w:tcW w:w="59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上风向G</w:t>
                  </w:r>
                  <w:r>
                    <w:rPr>
                      <w:rFonts w:hint="eastAsia" w:cs="Times New Roman"/>
                      <w:b w:val="0"/>
                      <w:bCs/>
                      <w:sz w:val="21"/>
                      <w:szCs w:val="21"/>
                      <w:highlight w:val="none"/>
                      <w:lang w:val="en-US" w:eastAsia="zh-CN"/>
                    </w:rPr>
                    <w:t>1</w:t>
                  </w:r>
                </w:p>
              </w:tc>
              <w:tc>
                <w:tcPr>
                  <w:tcW w:w="59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2</w:t>
                  </w:r>
                </w:p>
              </w:tc>
              <w:tc>
                <w:tcPr>
                  <w:tcW w:w="59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3</w:t>
                  </w:r>
                </w:p>
              </w:tc>
              <w:tc>
                <w:tcPr>
                  <w:tcW w:w="60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4</w:t>
                  </w:r>
                </w:p>
              </w:tc>
              <w:tc>
                <w:tcPr>
                  <w:tcW w:w="600" w:type="pc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b w:val="0"/>
                      <w:bCs/>
                      <w:sz w:val="21"/>
                      <w:szCs w:val="21"/>
                      <w:highlight w:val="none"/>
                      <w:lang w:val="en-US" w:eastAsia="zh-CN"/>
                    </w:rPr>
                  </w:pPr>
                  <w:r>
                    <w:rPr>
                      <w:rFonts w:ascii="宋体" w:hAnsi="宋体" w:eastAsia="宋体" w:cs="宋体"/>
                      <w:color w:val="000000"/>
                      <w:spacing w:val="0"/>
                      <w:w w:val="100"/>
                      <w:position w:val="0"/>
                      <w:sz w:val="21"/>
                      <w:szCs w:val="21"/>
                      <w:lang w:val="zh-TW" w:eastAsia="zh-TW" w:bidi="zh-TW"/>
                    </w:rPr>
                    <w:t>下风向门窗外</w:t>
                  </w:r>
                  <w:r>
                    <w:rPr>
                      <w:rFonts w:ascii="Times New Roman" w:hAnsi="Times New Roman" w:eastAsia="Times New Roman" w:cs="Times New Roman"/>
                      <w:color w:val="000000"/>
                      <w:spacing w:val="0"/>
                      <w:w w:val="100"/>
                      <w:position w:val="0"/>
                      <w:sz w:val="21"/>
                      <w:szCs w:val="21"/>
                      <w:lang w:val="en-US" w:eastAsia="en-US" w:bidi="en-US"/>
                    </w:rPr>
                    <w:t>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5" w:type="dxa"/>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ascii="宋体" w:hAnsi="宋体" w:eastAsia="宋体" w:cs="宋体"/>
                      <w:color w:val="000000"/>
                      <w:spacing w:val="0"/>
                      <w:w w:val="100"/>
                      <w:position w:val="0"/>
                      <w:sz w:val="21"/>
                      <w:szCs w:val="21"/>
                      <w:lang w:val="zh-TW" w:eastAsia="zh-TW" w:bidi="zh-TW"/>
                    </w:rPr>
                    <w:t xml:space="preserve">非甲烷总烷 </w:t>
                  </w: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w:t>
                  </w:r>
                </w:p>
              </w:tc>
              <w:tc>
                <w:tcPr>
                  <w:tcW w:w="1471" w:type="dxa"/>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ascii="Times New Roman" w:hAnsi="Times New Roman" w:eastAsia="Times New Roman" w:cs="Times New Roman"/>
                      <w:color w:val="000000"/>
                      <w:spacing w:val="0"/>
                      <w:w w:val="100"/>
                      <w:position w:val="0"/>
                      <w:sz w:val="21"/>
                      <w:szCs w:val="21"/>
                      <w:lang w:val="en-US" w:eastAsia="en-US" w:bidi="en-US"/>
                    </w:rPr>
                    <w:t>2022.03.08</w:t>
                  </w:r>
                </w:p>
              </w:tc>
              <w:tc>
                <w:tcPr>
                  <w:tcW w:w="639"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①</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0.31</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0.47</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0.47</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0.39</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147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639"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②</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0.30</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0.46</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0.36</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0.42</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147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639"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③</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0.29</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0.32</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0.49</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0.46</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1471" w:type="dxa"/>
                  <w:vMerge w:val="restart"/>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2022.03.09</w:t>
                  </w:r>
                </w:p>
              </w:tc>
              <w:tc>
                <w:tcPr>
                  <w:tcW w:w="639"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④</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0.24</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0.54</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0.36</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0.43</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147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639"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⑤</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0.21</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0.37</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0.40</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0.44</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147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sz w:val="21"/>
                      <w:szCs w:val="21"/>
                      <w:highlight w:val="none"/>
                      <w:lang w:val="en-US" w:eastAsia="zh-CN"/>
                    </w:rPr>
                  </w:pPr>
                </w:p>
              </w:tc>
              <w:tc>
                <w:tcPr>
                  <w:tcW w:w="639"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宋体" w:hAnsi="宋体" w:eastAsia="宋体" w:cs="宋体"/>
                      <w:color w:val="000000"/>
                      <w:spacing w:val="0"/>
                      <w:w w:val="100"/>
                      <w:position w:val="0"/>
                      <w:sz w:val="21"/>
                      <w:szCs w:val="21"/>
                      <w:lang w:val="zh-TW" w:eastAsia="zh-TW" w:bidi="zh-TW"/>
                    </w:rPr>
                    <w:t>⑥</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0.29</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0.31</w:t>
                  </w:r>
                </w:p>
              </w:tc>
              <w:tc>
                <w:tcPr>
                  <w:tcW w:w="1118"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0.40</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0.36</w:t>
                  </w:r>
                </w:p>
              </w:tc>
              <w:tc>
                <w:tcPr>
                  <w:tcW w:w="1121" w:type="dxa"/>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ascii="Times New Roman" w:hAnsi="Times New Roman" w:eastAsia="Times New Roman" w:cs="Times New Roman"/>
                      <w:color w:val="000000"/>
                      <w:spacing w:val="0"/>
                      <w:w w:val="100"/>
                      <w:position w:val="0"/>
                      <w:sz w:val="21"/>
                      <w:szCs w:val="21"/>
                      <w:lang w:val="en-US" w:eastAsia="en-US" w:bidi="en-US"/>
                    </w:rPr>
                  </w:pPr>
                  <w:r>
                    <w:rPr>
                      <w:rFonts w:ascii="Times New Roman" w:hAnsi="Times New Roman" w:eastAsia="Times New Roman" w:cs="Times New Roman"/>
                      <w:color w:val="000000"/>
                      <w:spacing w:val="0"/>
                      <w:w w:val="100"/>
                      <w:position w:val="0"/>
                      <w:sz w:val="21"/>
                      <w:szCs w:val="21"/>
                      <w:lang w:val="en-US" w:eastAsia="en-US" w:bidi="en-US"/>
                    </w:rPr>
                    <w:t>0.44</w:t>
                  </w:r>
                </w:p>
              </w:tc>
            </w:tr>
          </w:tbl>
          <w:p>
            <w:pPr>
              <w:spacing w:line="360" w:lineRule="auto"/>
              <w:ind w:firstLine="480" w:firstLineChars="200"/>
              <w:jc w:val="left"/>
              <w:rPr>
                <w:rFonts w:hint="eastAsia"/>
                <w:b w:val="0"/>
                <w:bCs/>
                <w:sz w:val="24"/>
                <w:lang w:val="en-US" w:eastAsia="zh-CN"/>
              </w:rPr>
            </w:pPr>
            <w:r>
              <w:rPr>
                <w:rFonts w:eastAsia="宋体" w:cs="Times New Roman"/>
                <w:bCs/>
                <w:sz w:val="24"/>
              </w:rPr>
              <w:t>根据安徽川达检测科技有限公司出具的监测报告可知，</w:t>
            </w:r>
            <w:r>
              <w:rPr>
                <w:rFonts w:hint="eastAsia" w:ascii="Times New Roman" w:hAnsi="Times New Roman" w:cs="Times New Roman"/>
                <w:sz w:val="24"/>
                <w:lang w:val="zh-TW" w:eastAsia="zh-CN"/>
              </w:rPr>
              <w:t>厂区内满足《挥发性有机物无组织排放控制标准》（GB37822-2019）中的标准要求</w:t>
            </w:r>
            <w:r>
              <w:rPr>
                <w:rFonts w:hint="eastAsia" w:cs="Times New Roman"/>
                <w:b w:val="0"/>
                <w:bCs w:val="0"/>
                <w:sz w:val="24"/>
                <w:lang w:val="en-US" w:eastAsia="zh-CN"/>
              </w:rPr>
              <w:t>。</w:t>
            </w:r>
          </w:p>
          <w:p>
            <w:pPr>
              <w:spacing w:line="360" w:lineRule="auto"/>
              <w:ind w:firstLine="482" w:firstLineChars="200"/>
              <w:jc w:val="left"/>
              <w:rPr>
                <w:rFonts w:ascii="Times New Roman" w:cs="Times New Roman"/>
                <w:b/>
                <w:color w:val="0000FF"/>
              </w:rPr>
            </w:pPr>
            <w:r>
              <w:rPr>
                <w:rFonts w:hint="eastAsia"/>
                <w:b/>
                <w:sz w:val="24"/>
                <w:lang w:val="en-US" w:eastAsia="zh-CN"/>
              </w:rPr>
              <w:t>2</w:t>
            </w:r>
            <w:r>
              <w:rPr>
                <w:rFonts w:hint="eastAsia"/>
                <w:b/>
                <w:sz w:val="24"/>
              </w:rPr>
              <w:t>、</w:t>
            </w:r>
            <w:r>
              <w:rPr>
                <w:rFonts w:hint="eastAsia"/>
                <w:b/>
                <w:sz w:val="24"/>
                <w:lang w:eastAsia="zh-CN"/>
              </w:rPr>
              <w:t>有</w:t>
            </w:r>
            <w:r>
              <w:rPr>
                <w:b/>
                <w:sz w:val="24"/>
              </w:rPr>
              <w:t>组织废气</w:t>
            </w:r>
          </w:p>
          <w:p>
            <w:pPr>
              <w:pStyle w:val="2"/>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4</w:t>
            </w:r>
            <w:r>
              <w:rPr>
                <w:rFonts w:ascii="Times New Roman" w:cs="Times New Roman"/>
                <w:b/>
                <w:color w:val="auto"/>
              </w:rPr>
              <w:t xml:space="preserve"> </w:t>
            </w:r>
            <w:r>
              <w:rPr>
                <w:rFonts w:hint="eastAsia" w:ascii="Times New Roman" w:cs="Times New Roman"/>
                <w:b/>
                <w:color w:val="auto"/>
                <w:lang w:eastAsia="zh-CN"/>
              </w:rPr>
              <w:t>有</w:t>
            </w:r>
            <w:r>
              <w:rPr>
                <w:rFonts w:ascii="Times New Roman" w:cs="Times New Roman"/>
                <w:b/>
                <w:color w:val="auto"/>
              </w:rPr>
              <w:t>组织监测结果一览表</w:t>
            </w:r>
          </w:p>
          <w:tbl>
            <w:tblPr>
              <w:tblStyle w:val="21"/>
              <w:tblW w:w="4999" w:type="pct"/>
              <w:jc w:val="center"/>
              <w:tblLayout w:type="autofit"/>
              <w:tblCellMar>
                <w:top w:w="0" w:type="dxa"/>
                <w:left w:w="10" w:type="dxa"/>
                <w:bottom w:w="0" w:type="dxa"/>
                <w:right w:w="10" w:type="dxa"/>
              </w:tblCellMar>
            </w:tblPr>
            <w:tblGrid>
              <w:gridCol w:w="2544"/>
              <w:gridCol w:w="945"/>
              <w:gridCol w:w="1016"/>
              <w:gridCol w:w="872"/>
              <w:gridCol w:w="1044"/>
              <w:gridCol w:w="872"/>
              <w:gridCol w:w="1016"/>
              <w:gridCol w:w="1044"/>
            </w:tblGrid>
            <w:tr>
              <w:tblPrEx>
                <w:tblCellMar>
                  <w:top w:w="0" w:type="dxa"/>
                  <w:left w:w="10" w:type="dxa"/>
                  <w:bottom w:w="0" w:type="dxa"/>
                  <w:right w:w="10" w:type="dxa"/>
                </w:tblCellMar>
              </w:tblPrEx>
              <w:trPr>
                <w:trHeight w:val="437" w:hRule="exact"/>
                <w:jc w:val="center"/>
              </w:trPr>
              <w:tc>
                <w:tcPr>
                  <w:tcW w:w="1865"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检测点位</w:t>
                  </w:r>
                </w:p>
              </w:tc>
              <w:tc>
                <w:tcPr>
                  <w:tcW w:w="3134"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木工粉尘排气筒进口</w:t>
                  </w:r>
                </w:p>
              </w:tc>
            </w:tr>
            <w:tr>
              <w:tblPrEx>
                <w:tblCellMar>
                  <w:top w:w="0" w:type="dxa"/>
                  <w:left w:w="10" w:type="dxa"/>
                  <w:bottom w:w="0" w:type="dxa"/>
                  <w:right w:w="10" w:type="dxa"/>
                </w:tblCellMar>
              </w:tblPrEx>
              <w:trPr>
                <w:trHeight w:val="422" w:hRule="exact"/>
                <w:jc w:val="center"/>
              </w:trPr>
              <w:tc>
                <w:tcPr>
                  <w:tcW w:w="1865"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监测日期</w:t>
                  </w:r>
                </w:p>
              </w:tc>
              <w:tc>
                <w:tcPr>
                  <w:tcW w:w="1567" w:type="pct"/>
                  <w:gridSpan w:val="3"/>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2022.03.08</w:t>
                  </w:r>
                </w:p>
              </w:tc>
              <w:tc>
                <w:tcPr>
                  <w:tcW w:w="1567" w:type="pct"/>
                  <w:gridSpan w:val="3"/>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2022.03.09</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检测指标</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单位</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①</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②</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③</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④</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⑤</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⑥</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截面积</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r>
                    <w:rPr>
                      <w:rFonts w:hint="default" w:ascii="Times New Roman" w:hAnsi="Times New Roman" w:eastAsia="宋体" w:cs="Times New Roman"/>
                      <w:color w:val="000000"/>
                      <w:spacing w:val="0"/>
                      <w:w w:val="100"/>
                      <w:position w:val="0"/>
                      <w:sz w:val="21"/>
                      <w:szCs w:val="21"/>
                      <w:vertAlign w:val="superscript"/>
                      <w:lang w:val="en-US" w:eastAsia="en-US" w:bidi="en-US"/>
                    </w:rPr>
                    <w:t>2</w:t>
                  </w:r>
                </w:p>
              </w:tc>
              <w:tc>
                <w:tcPr>
                  <w:tcW w:w="3134"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0.3848</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烟气温度</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°C</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15.6</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15.7</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15.5</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15.4</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15.5</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15.2</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烟气流速</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m/s</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10.4</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10.4</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10.4</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10.5</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10.5</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10.5</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标干流量</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r>
                    <w:rPr>
                      <w:rFonts w:hint="default" w:ascii="Times New Roman" w:hAnsi="Times New Roman" w:eastAsia="宋体" w:cs="Times New Roman"/>
                      <w:color w:val="000000"/>
                      <w:spacing w:val="0"/>
                      <w:w w:val="100"/>
                      <w:position w:val="0"/>
                      <w:sz w:val="21"/>
                      <w:szCs w:val="21"/>
                      <w:lang w:val="en-US" w:eastAsia="en-US" w:bidi="en-US"/>
                    </w:rPr>
                    <w:t>/h</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13436</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13430</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13438</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13588</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13580</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13594</w:t>
                  </w:r>
                </w:p>
              </w:tc>
            </w:tr>
            <w:tr>
              <w:tblPrEx>
                <w:tblCellMar>
                  <w:top w:w="0" w:type="dxa"/>
                  <w:left w:w="10" w:type="dxa"/>
                  <w:bottom w:w="0" w:type="dxa"/>
                  <w:right w:w="10" w:type="dxa"/>
                </w:tblCellMar>
              </w:tblPrEx>
              <w:trPr>
                <w:trHeight w:val="418"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颗粒物实测浓度</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mg/m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56.3</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59.0</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55.3</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51.2</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63.6</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69.1</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颗粒物排放速率</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kg/h</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0.756</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0.792</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0.743</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0.696</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0.864</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0.939</w:t>
                  </w:r>
                </w:p>
              </w:tc>
            </w:tr>
            <w:tr>
              <w:tblPrEx>
                <w:tblCellMar>
                  <w:top w:w="0" w:type="dxa"/>
                  <w:left w:w="10" w:type="dxa"/>
                  <w:bottom w:w="0" w:type="dxa"/>
                  <w:right w:w="10" w:type="dxa"/>
                </w:tblCellMar>
              </w:tblPrEx>
              <w:trPr>
                <w:trHeight w:val="422" w:hRule="exact"/>
                <w:jc w:val="center"/>
              </w:trPr>
              <w:tc>
                <w:tcPr>
                  <w:tcW w:w="1865"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检测点位</w:t>
                  </w:r>
                </w:p>
              </w:tc>
              <w:tc>
                <w:tcPr>
                  <w:tcW w:w="3134"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木工粉尘排气筒出口</w:t>
                  </w:r>
                </w:p>
              </w:tc>
            </w:tr>
            <w:tr>
              <w:tblPrEx>
                <w:tblCellMar>
                  <w:top w:w="0" w:type="dxa"/>
                  <w:left w:w="10" w:type="dxa"/>
                  <w:bottom w:w="0" w:type="dxa"/>
                  <w:right w:w="10" w:type="dxa"/>
                </w:tblCellMar>
              </w:tblPrEx>
              <w:trPr>
                <w:trHeight w:val="422" w:hRule="exact"/>
                <w:jc w:val="center"/>
              </w:trPr>
              <w:tc>
                <w:tcPr>
                  <w:tcW w:w="1865"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监测日期</w:t>
                  </w:r>
                </w:p>
              </w:tc>
              <w:tc>
                <w:tcPr>
                  <w:tcW w:w="1567" w:type="pct"/>
                  <w:gridSpan w:val="3"/>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2022.03.08</w:t>
                  </w:r>
                </w:p>
              </w:tc>
              <w:tc>
                <w:tcPr>
                  <w:tcW w:w="1567" w:type="pct"/>
                  <w:gridSpan w:val="3"/>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2022.03.09</w:t>
                  </w:r>
                </w:p>
              </w:tc>
            </w:tr>
            <w:tr>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检测指标</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单位</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①</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②</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③</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④</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⑤</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⑥</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截面积</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r>
                    <w:rPr>
                      <w:rFonts w:hint="default" w:ascii="Times New Roman" w:hAnsi="Times New Roman" w:eastAsia="宋体" w:cs="Times New Roman"/>
                      <w:color w:val="000000"/>
                      <w:spacing w:val="0"/>
                      <w:w w:val="100"/>
                      <w:position w:val="0"/>
                      <w:sz w:val="21"/>
                      <w:szCs w:val="21"/>
                      <w:vertAlign w:val="superscript"/>
                      <w:lang w:val="en-US" w:eastAsia="en-US" w:bidi="en-US"/>
                    </w:rPr>
                    <w:t>2</w:t>
                  </w:r>
                </w:p>
              </w:tc>
              <w:tc>
                <w:tcPr>
                  <w:tcW w:w="3134"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0.2827</w:t>
                  </w:r>
                </w:p>
              </w:tc>
            </w:tr>
            <w:tr>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高度</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p>
              </w:tc>
              <w:tc>
                <w:tcPr>
                  <w:tcW w:w="3134"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15</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烟气温度</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°C</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16.3</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16.4</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16.7</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16.1</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16.3</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16.2</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烟气流速</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m/s</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10.2</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10.4</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10.4</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10.3</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10.6</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10.3</w:t>
                  </w:r>
                </w:p>
              </w:tc>
            </w:tr>
            <w:tr>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标干流量</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r>
                    <w:rPr>
                      <w:rFonts w:hint="default" w:ascii="Times New Roman" w:hAnsi="Times New Roman" w:eastAsia="宋体" w:cs="Times New Roman"/>
                      <w:color w:val="000000"/>
                      <w:spacing w:val="0"/>
                      <w:w w:val="100"/>
                      <w:position w:val="0"/>
                      <w:sz w:val="21"/>
                      <w:szCs w:val="21"/>
                      <w:lang w:val="en-US" w:eastAsia="en-US" w:bidi="en-US"/>
                    </w:rPr>
                    <w:t>/h</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9662</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9852</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9841</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9776</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10057</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9772</w:t>
                  </w:r>
                </w:p>
              </w:tc>
            </w:tr>
            <w:tr>
              <w:tblPrEx>
                <w:tblCellMar>
                  <w:top w:w="0" w:type="dxa"/>
                  <w:left w:w="10" w:type="dxa"/>
                  <w:bottom w:w="0" w:type="dxa"/>
                  <w:right w:w="10" w:type="dxa"/>
                </w:tblCellMar>
              </w:tblPrEx>
              <w:trPr>
                <w:trHeight w:val="422" w:hRule="exact"/>
                <w:jc w:val="center"/>
              </w:trPr>
              <w:tc>
                <w:tcPr>
                  <w:tcW w:w="136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颗粒物实测浓度</w:t>
                  </w:r>
                </w:p>
              </w:tc>
              <w:tc>
                <w:tcPr>
                  <w:tcW w:w="50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mg/m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&lt;20</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&lt;20</w:t>
                  </w:r>
                </w:p>
              </w:tc>
              <w:tc>
                <w:tcPr>
                  <w:tcW w:w="55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&lt;20</w:t>
                  </w:r>
                </w:p>
              </w:tc>
              <w:tc>
                <w:tcPr>
                  <w:tcW w:w="46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&lt;20</w:t>
                  </w:r>
                </w:p>
              </w:tc>
              <w:tc>
                <w:tcPr>
                  <w:tcW w:w="54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&lt;20</w:t>
                  </w:r>
                </w:p>
              </w:tc>
              <w:tc>
                <w:tcPr>
                  <w:tcW w:w="557"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&lt;20</w:t>
                  </w:r>
                </w:p>
              </w:tc>
            </w:tr>
            <w:tr>
              <w:trPr>
                <w:trHeight w:val="442" w:hRule="exact"/>
                <w:jc w:val="center"/>
              </w:trPr>
              <w:tc>
                <w:tcPr>
                  <w:tcW w:w="1360"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颗粒物排放速率</w:t>
                  </w:r>
                </w:p>
              </w:tc>
              <w:tc>
                <w:tcPr>
                  <w:tcW w:w="505"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kg/h</w:t>
                  </w:r>
                </w:p>
              </w:tc>
              <w:tc>
                <w:tcPr>
                  <w:tcW w:w="543"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c>
                <w:tcPr>
                  <w:tcW w:w="466"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c>
                <w:tcPr>
                  <w:tcW w:w="557"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c>
                <w:tcPr>
                  <w:tcW w:w="466"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c>
                <w:tcPr>
                  <w:tcW w:w="543"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c>
                <w:tcPr>
                  <w:tcW w:w="557"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bl>
          <w:p>
            <w:pPr>
              <w:spacing w:line="360" w:lineRule="auto"/>
              <w:ind w:firstLine="480" w:firstLineChars="200"/>
              <w:rPr>
                <w:rFonts w:hint="eastAsia"/>
                <w:b/>
                <w:bCs/>
                <w:sz w:val="24"/>
                <w:lang w:val="en-US" w:eastAsia="zh-CN"/>
              </w:rPr>
            </w:pPr>
            <w:r>
              <w:rPr>
                <w:rFonts w:eastAsia="宋体" w:cs="Times New Roman"/>
                <w:bCs/>
                <w:sz w:val="24"/>
              </w:rPr>
              <w:t>根据安徽川达检测科技有限公司出具的监测报告可知，实际营运过程中，</w:t>
            </w:r>
            <w:r>
              <w:rPr>
                <w:rFonts w:hint="eastAsia" w:eastAsia="宋体" w:cs="Times New Roman"/>
                <w:bCs/>
                <w:sz w:val="24"/>
                <w:lang w:eastAsia="zh-CN"/>
              </w:rPr>
              <w:t>有组织</w:t>
            </w:r>
            <w:r>
              <w:rPr>
                <w:rFonts w:hint="eastAsia" w:eastAsia="宋体" w:cs="Times New Roman"/>
                <w:bCs/>
                <w:sz w:val="24"/>
              </w:rPr>
              <w:t>排放的</w:t>
            </w:r>
            <w:r>
              <w:rPr>
                <w:rFonts w:hint="eastAsia" w:eastAsia="宋体" w:cs="Times New Roman"/>
                <w:bCs/>
                <w:sz w:val="24"/>
                <w:lang w:eastAsia="zh-CN"/>
              </w:rPr>
              <w:t>颗粒物</w:t>
            </w:r>
            <w:r>
              <w:rPr>
                <w:rFonts w:hint="eastAsia" w:eastAsia="宋体" w:cs="Times New Roman"/>
                <w:bCs/>
                <w:sz w:val="24"/>
              </w:rPr>
              <w:t>能够</w:t>
            </w:r>
            <w:r>
              <w:rPr>
                <w:rFonts w:eastAsia="宋体" w:cs="Times New Roman"/>
                <w:bCs/>
                <w:sz w:val="24"/>
              </w:rPr>
              <w:t>满足上海市地方标准《大气污染物综合排放标准》</w:t>
            </w:r>
            <w:r>
              <w:rPr>
                <w:rFonts w:hint="eastAsia" w:eastAsia="宋体" w:cs="Times New Roman"/>
                <w:bCs/>
                <w:sz w:val="24"/>
                <w:lang w:eastAsia="zh-CN"/>
              </w:rPr>
              <w:t>（</w:t>
            </w:r>
            <w:r>
              <w:rPr>
                <w:rFonts w:eastAsia="宋体" w:cs="Times New Roman"/>
                <w:bCs/>
                <w:sz w:val="24"/>
              </w:rPr>
              <w:t>DB31/933-2015</w:t>
            </w:r>
            <w:r>
              <w:rPr>
                <w:rFonts w:hint="eastAsia" w:eastAsia="宋体" w:cs="Times New Roman"/>
                <w:bCs/>
                <w:sz w:val="24"/>
                <w:lang w:eastAsia="zh-CN"/>
              </w:rPr>
              <w:t>）</w:t>
            </w:r>
            <w:r>
              <w:rPr>
                <w:rFonts w:eastAsia="宋体" w:cs="Times New Roman"/>
                <w:bCs/>
                <w:sz w:val="24"/>
              </w:rPr>
              <w:t>中的标准要求。</w:t>
            </w:r>
          </w:p>
          <w:p>
            <w:pPr>
              <w:pStyle w:val="2"/>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 xml:space="preserve">5 </w:t>
            </w:r>
            <w:r>
              <w:rPr>
                <w:rFonts w:hint="eastAsia" w:ascii="Times New Roman" w:cs="Times New Roman"/>
                <w:b/>
                <w:color w:val="auto"/>
                <w:lang w:eastAsia="zh-CN"/>
              </w:rPr>
              <w:t>有</w:t>
            </w:r>
            <w:r>
              <w:rPr>
                <w:rFonts w:ascii="Times New Roman" w:cs="Times New Roman"/>
                <w:b/>
                <w:color w:val="auto"/>
              </w:rPr>
              <w:t>组织监测结果一览表</w:t>
            </w:r>
          </w:p>
          <w:tbl>
            <w:tblPr>
              <w:tblStyle w:val="21"/>
              <w:tblW w:w="9353" w:type="dxa"/>
              <w:jc w:val="center"/>
              <w:tblLayout w:type="autofit"/>
              <w:tblCellMar>
                <w:top w:w="0" w:type="dxa"/>
                <w:left w:w="10" w:type="dxa"/>
                <w:bottom w:w="0" w:type="dxa"/>
                <w:right w:w="10" w:type="dxa"/>
              </w:tblCellMar>
            </w:tblPr>
            <w:tblGrid>
              <w:gridCol w:w="2381"/>
              <w:gridCol w:w="714"/>
              <w:gridCol w:w="942"/>
              <w:gridCol w:w="913"/>
              <w:gridCol w:w="1097"/>
              <w:gridCol w:w="1088"/>
              <w:gridCol w:w="1127"/>
              <w:gridCol w:w="1091"/>
            </w:tblGrid>
            <w:tr>
              <w:tblPrEx>
                <w:tblCellMar>
                  <w:top w:w="0" w:type="dxa"/>
                  <w:left w:w="10" w:type="dxa"/>
                  <w:bottom w:w="0" w:type="dxa"/>
                  <w:right w:w="10" w:type="dxa"/>
                </w:tblCellMar>
              </w:tblPrEx>
              <w:trPr>
                <w:trHeight w:val="437" w:hRule="exact"/>
                <w:jc w:val="center"/>
              </w:trPr>
              <w:tc>
                <w:tcPr>
                  <w:tcW w:w="1663"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检测点位</w:t>
                  </w:r>
                </w:p>
              </w:tc>
              <w:tc>
                <w:tcPr>
                  <w:tcW w:w="3336"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底漆涂装废气</w:t>
                  </w:r>
                  <w:r>
                    <w:rPr>
                      <w:rFonts w:ascii="Times New Roman" w:hAnsi="Times New Roman" w:eastAsia="Times New Roman" w:cs="Times New Roman"/>
                      <w:color w:val="000000"/>
                      <w:spacing w:val="0"/>
                      <w:w w:val="100"/>
                      <w:position w:val="0"/>
                      <w:sz w:val="21"/>
                      <w:szCs w:val="21"/>
                      <w:lang w:val="en-US" w:eastAsia="en-US" w:bidi="en-US"/>
                    </w:rPr>
                    <w:t>1</w:t>
                  </w:r>
                  <w:r>
                    <w:rPr>
                      <w:rFonts w:ascii="宋体" w:hAnsi="宋体" w:eastAsia="宋体" w:cs="宋体"/>
                      <w:color w:val="000000"/>
                      <w:spacing w:val="0"/>
                      <w:w w:val="100"/>
                      <w:position w:val="0"/>
                      <w:sz w:val="21"/>
                      <w:szCs w:val="21"/>
                      <w:lang w:val="zh-TW" w:eastAsia="zh-TW" w:bidi="zh-TW"/>
                    </w:rPr>
                    <w:t>号、</w:t>
                  </w:r>
                  <w:r>
                    <w:rPr>
                      <w:rFonts w:ascii="Times New Roman" w:hAnsi="Times New Roman" w:eastAsia="Times New Roman" w:cs="Times New Roman"/>
                      <w:color w:val="000000"/>
                      <w:spacing w:val="0"/>
                      <w:w w:val="100"/>
                      <w:position w:val="0"/>
                      <w:sz w:val="21"/>
                      <w:szCs w:val="21"/>
                      <w:lang w:val="en-US" w:eastAsia="en-US" w:bidi="en-US"/>
                    </w:rPr>
                    <w:t>2</w:t>
                  </w:r>
                  <w:r>
                    <w:rPr>
                      <w:rFonts w:ascii="宋体" w:hAnsi="宋体" w:eastAsia="宋体" w:cs="宋体"/>
                      <w:color w:val="000000"/>
                      <w:spacing w:val="0"/>
                      <w:w w:val="100"/>
                      <w:position w:val="0"/>
                      <w:sz w:val="21"/>
                      <w:szCs w:val="21"/>
                      <w:lang w:val="zh-TW" w:eastAsia="zh-TW" w:bidi="zh-TW"/>
                    </w:rPr>
                    <w:t>号合并进口</w:t>
                  </w:r>
                </w:p>
              </w:tc>
            </w:tr>
            <w:tr>
              <w:tblPrEx>
                <w:tblCellMar>
                  <w:top w:w="0" w:type="dxa"/>
                  <w:left w:w="10" w:type="dxa"/>
                  <w:bottom w:w="0" w:type="dxa"/>
                  <w:right w:w="10" w:type="dxa"/>
                </w:tblCellMar>
              </w:tblPrEx>
              <w:trPr>
                <w:trHeight w:val="422" w:hRule="exact"/>
                <w:jc w:val="center"/>
              </w:trPr>
              <w:tc>
                <w:tcPr>
                  <w:tcW w:w="1663"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监测日期</w:t>
                  </w:r>
                </w:p>
              </w:tc>
              <w:tc>
                <w:tcPr>
                  <w:tcW w:w="1558" w:type="pct"/>
                  <w:gridSpan w:val="3"/>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2022.03.08</w:t>
                  </w:r>
                </w:p>
              </w:tc>
              <w:tc>
                <w:tcPr>
                  <w:tcW w:w="1778" w:type="pct"/>
                  <w:gridSpan w:val="3"/>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2022.03.09</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检测指标</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单位</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①</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②</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③</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④</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⑤</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⑥</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截面积</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2</w:t>
                  </w:r>
                </w:p>
              </w:tc>
              <w:tc>
                <w:tcPr>
                  <w:tcW w:w="3336"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0.5027</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烟气温度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°C</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20.9</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20.7</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20.4</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20.2</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20.4</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20.3</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烟气流速</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m/s</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5.8</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5.8</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5.8</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6.2</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6.3</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6.2</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标干流量</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/h</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9667</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9675</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9684</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10341</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10520</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10338</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颗粒物实测浓度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26.4</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29.1</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33.8</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30.5</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29.1</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28.2</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颗粒物排放速率</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kg/h</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0.255</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0.282</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0.327</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0.315</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0.306</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0.292</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二甲苯实测浓度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ND</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2.0x10-3</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2.4x10-3</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ND</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2.0x10-3</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4.5x10-3</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二甲苯排放速率</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kg/h</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1.94x10</w:t>
                  </w:r>
                  <w:r>
                    <w:rPr>
                      <w:rFonts w:ascii="宋体" w:hAnsi="宋体" w:eastAsia="宋体" w:cs="宋体"/>
                      <w:color w:val="000000"/>
                      <w:spacing w:val="0"/>
                      <w:w w:val="100"/>
                      <w:position w:val="0"/>
                      <w:sz w:val="21"/>
                      <w:szCs w:val="21"/>
                      <w:lang w:val="zh-TW" w:eastAsia="zh-TW" w:bidi="zh-TW"/>
                    </w:rPr>
                    <w:t>。</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2.32x10-5</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2.10x10-5</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4.65x10-5</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非甲烷总焼实测浓度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1.55</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1.69</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1.73</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1.75</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1.79</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1.87</w:t>
                  </w:r>
                </w:p>
              </w:tc>
            </w:tr>
            <w:tr>
              <w:tblPrEx>
                <w:tblCellMar>
                  <w:top w:w="0" w:type="dxa"/>
                  <w:left w:w="10" w:type="dxa"/>
                  <w:bottom w:w="0" w:type="dxa"/>
                  <w:right w:w="10" w:type="dxa"/>
                </w:tblCellMar>
              </w:tblPrEx>
              <w:trPr>
                <w:trHeight w:val="418"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非甲烷总炷排放速率</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kg/h</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0.015</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0.016</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0.017</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0.018</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0.019</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0.019</w:t>
                  </w:r>
                </w:p>
              </w:tc>
            </w:tr>
            <w:tr>
              <w:tblPrEx>
                <w:tblCellMar>
                  <w:top w:w="0" w:type="dxa"/>
                  <w:left w:w="10" w:type="dxa"/>
                  <w:bottom w:w="0" w:type="dxa"/>
                  <w:right w:w="10" w:type="dxa"/>
                </w:tblCellMar>
              </w:tblPrEx>
              <w:trPr>
                <w:trHeight w:val="422" w:hRule="exact"/>
                <w:jc w:val="center"/>
              </w:trPr>
              <w:tc>
                <w:tcPr>
                  <w:tcW w:w="1663"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检测点位</w:t>
                  </w:r>
                </w:p>
              </w:tc>
              <w:tc>
                <w:tcPr>
                  <w:tcW w:w="3336"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面漆涂装废气进口</w:t>
                  </w:r>
                </w:p>
              </w:tc>
            </w:tr>
            <w:tr>
              <w:tblPrEx>
                <w:tblCellMar>
                  <w:top w:w="0" w:type="dxa"/>
                  <w:left w:w="10" w:type="dxa"/>
                  <w:bottom w:w="0" w:type="dxa"/>
                  <w:right w:w="10" w:type="dxa"/>
                </w:tblCellMar>
              </w:tblPrEx>
              <w:trPr>
                <w:trHeight w:val="422" w:hRule="exact"/>
                <w:jc w:val="center"/>
              </w:trPr>
              <w:tc>
                <w:tcPr>
                  <w:tcW w:w="1663"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监测日期</w:t>
                  </w:r>
                </w:p>
              </w:tc>
              <w:tc>
                <w:tcPr>
                  <w:tcW w:w="1558" w:type="pct"/>
                  <w:gridSpan w:val="3"/>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2022.03.08</w:t>
                  </w:r>
                </w:p>
              </w:tc>
              <w:tc>
                <w:tcPr>
                  <w:tcW w:w="1778" w:type="pct"/>
                  <w:gridSpan w:val="3"/>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2022.03.09</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检测指标</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单位</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①</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②</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③</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④</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⑤</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⑥</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截面积</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2</w:t>
                  </w:r>
                </w:p>
              </w:tc>
              <w:tc>
                <w:tcPr>
                  <w:tcW w:w="3336"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0.2827</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烟气温度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°C</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17.6</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18.0</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18.4</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18.0</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18.3</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18.1</w:t>
                  </w:r>
                </w:p>
              </w:tc>
            </w:tr>
            <w:tr>
              <w:tblPrEx>
                <w:tblCellMar>
                  <w:top w:w="0" w:type="dxa"/>
                  <w:left w:w="10" w:type="dxa"/>
                  <w:bottom w:w="0" w:type="dxa"/>
                  <w:right w:w="10" w:type="dxa"/>
                </w:tblCellMar>
              </w:tblPrEx>
              <w:trPr>
                <w:trHeight w:val="418"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烟气流速</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m/s</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10.9</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10.9</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11.0</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11.2</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11.2</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11.3</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标干流量</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/h</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10280</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10263</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10351</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10536</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10525</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10638</w:t>
                  </w:r>
                </w:p>
              </w:tc>
            </w:tr>
            <w:tr>
              <w:tblPrEx>
                <w:tblCellMar>
                  <w:top w:w="0" w:type="dxa"/>
                  <w:left w:w="10" w:type="dxa"/>
                  <w:bottom w:w="0" w:type="dxa"/>
                  <w:right w:w="10" w:type="dxa"/>
                </w:tblCellMar>
              </w:tblPrEx>
              <w:trPr>
                <w:trHeight w:val="427"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颗粒物实测浓度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22.8</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23.5</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27.0</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29.7</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26.8</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24.0</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颗粒物排放速率</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kg/h</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0.234</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0.241</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0.279</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0.313</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0.282</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0.255</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二甲苯实测浓度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ND</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ND</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2.4x10-3</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2.6x10-3</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4.2x10</w:t>
                  </w:r>
                  <w:r>
                    <w:rPr>
                      <w:rFonts w:ascii="宋体" w:hAnsi="宋体" w:eastAsia="宋体" w:cs="宋体"/>
                      <w:color w:val="000000"/>
                      <w:spacing w:val="0"/>
                      <w:w w:val="100"/>
                      <w:position w:val="0"/>
                      <w:sz w:val="21"/>
                      <w:szCs w:val="21"/>
                      <w:lang w:val="zh-TW" w:eastAsia="zh-TW" w:bidi="zh-TW"/>
                    </w:rPr>
                    <w:t>。</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5.1x10-3</w:t>
                  </w:r>
                </w:p>
              </w:tc>
            </w:tr>
            <w:tr>
              <w:tblPrEx>
                <w:tblCellMar>
                  <w:top w:w="0" w:type="dxa"/>
                  <w:left w:w="10" w:type="dxa"/>
                  <w:bottom w:w="0" w:type="dxa"/>
                  <w:right w:w="10" w:type="dxa"/>
                </w:tblCellMar>
              </w:tblPrEx>
              <w:trPr>
                <w:trHeight w:val="422"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二甲苯排放速率</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kg/h</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2.48x10-5</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2.74x10-5</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4.42 X10'</w:t>
                  </w:r>
                  <w:r>
                    <w:rPr>
                      <w:rFonts w:ascii="Times New Roman" w:hAnsi="Times New Roman" w:eastAsia="Times New Roman" w:cs="Times New Roman"/>
                      <w:color w:val="000000"/>
                      <w:spacing w:val="0"/>
                      <w:w w:val="100"/>
                      <w:position w:val="0"/>
                      <w:sz w:val="21"/>
                      <w:szCs w:val="21"/>
                      <w:vertAlign w:val="superscript"/>
                      <w:lang w:val="en-US" w:eastAsia="en-US" w:bidi="en-US"/>
                    </w:rPr>
                    <w:t>5</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5.43x10-5</w:t>
                  </w:r>
                </w:p>
              </w:tc>
            </w:tr>
            <w:tr>
              <w:tblPrEx>
                <w:tblCellMar>
                  <w:top w:w="0" w:type="dxa"/>
                  <w:left w:w="10" w:type="dxa"/>
                  <w:bottom w:w="0" w:type="dxa"/>
                  <w:right w:w="10" w:type="dxa"/>
                </w:tblCellMar>
              </w:tblPrEx>
              <w:trPr>
                <w:trHeight w:val="418" w:hRule="exact"/>
                <w:jc w:val="center"/>
              </w:trPr>
              <w:tc>
                <w:tcPr>
                  <w:tcW w:w="127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非甲烷总炷实测浓度</w:t>
                  </w:r>
                </w:p>
              </w:tc>
              <w:tc>
                <w:tcPr>
                  <w:tcW w:w="3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mg/m</w:t>
                  </w:r>
                  <w:r>
                    <w:rPr>
                      <w:rFonts w:ascii="Times New Roman" w:hAnsi="Times New Roman" w:eastAsia="Times New Roman" w:cs="Times New Roman"/>
                      <w:color w:val="000000"/>
                      <w:spacing w:val="0"/>
                      <w:w w:val="100"/>
                      <w:position w:val="0"/>
                      <w:sz w:val="21"/>
                      <w:szCs w:val="21"/>
                      <w:vertAlign w:val="superscript"/>
                      <w:lang w:val="en-US" w:eastAsia="en-US" w:bidi="en-US"/>
                    </w:rPr>
                    <w:t>3</w:t>
                  </w:r>
                </w:p>
              </w:tc>
              <w:tc>
                <w:tcPr>
                  <w:tcW w:w="507"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14.0</w:t>
                  </w:r>
                </w:p>
              </w:tc>
              <w:tc>
                <w:tcPr>
                  <w:tcW w:w="46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13.6</w:t>
                  </w:r>
                </w:p>
              </w:tc>
              <w:tc>
                <w:tcPr>
                  <w:tcW w:w="589"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14.0</w:t>
                  </w:r>
                </w:p>
              </w:tc>
              <w:tc>
                <w:tcPr>
                  <w:tcW w:w="58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13.7</w:t>
                  </w:r>
                </w:p>
              </w:tc>
              <w:tc>
                <w:tcPr>
                  <w:tcW w:w="606"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13.3</w:t>
                  </w:r>
                </w:p>
              </w:tc>
              <w:tc>
                <w:tcPr>
                  <w:tcW w:w="586"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12.7</w:t>
                  </w:r>
                </w:p>
              </w:tc>
            </w:tr>
            <w:tr>
              <w:tblPrEx>
                <w:tblCellMar>
                  <w:top w:w="0" w:type="dxa"/>
                  <w:left w:w="10" w:type="dxa"/>
                  <w:bottom w:w="0" w:type="dxa"/>
                  <w:right w:w="10" w:type="dxa"/>
                </w:tblCellMar>
              </w:tblPrEx>
              <w:trPr>
                <w:trHeight w:val="442" w:hRule="exact"/>
                <w:jc w:val="center"/>
              </w:trPr>
              <w:tc>
                <w:tcPr>
                  <w:tcW w:w="1277"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非甲烷总炷排放速率</w:t>
                  </w:r>
                </w:p>
              </w:tc>
              <w:tc>
                <w:tcPr>
                  <w:tcW w:w="385"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kg/h</w:t>
                  </w:r>
                </w:p>
              </w:tc>
              <w:tc>
                <w:tcPr>
                  <w:tcW w:w="507"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0.144</w:t>
                  </w:r>
                </w:p>
              </w:tc>
              <w:tc>
                <w:tcPr>
                  <w:tcW w:w="461"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0.140</w:t>
                  </w:r>
                </w:p>
              </w:tc>
              <w:tc>
                <w:tcPr>
                  <w:tcW w:w="589"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0.145</w:t>
                  </w:r>
                </w:p>
              </w:tc>
              <w:tc>
                <w:tcPr>
                  <w:tcW w:w="585"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0.144</w:t>
                  </w:r>
                </w:p>
              </w:tc>
              <w:tc>
                <w:tcPr>
                  <w:tcW w:w="606"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0.140</w:t>
                  </w:r>
                </w:p>
              </w:tc>
              <w:tc>
                <w:tcPr>
                  <w:tcW w:w="58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0.135</w:t>
                  </w:r>
                </w:p>
              </w:tc>
            </w:tr>
          </w:tbl>
          <w:p>
            <w:pPr>
              <w:spacing w:line="360" w:lineRule="auto"/>
              <w:ind w:firstLine="480" w:firstLineChars="200"/>
              <w:rPr>
                <w:rFonts w:hint="eastAsia"/>
                <w:b/>
                <w:bCs/>
                <w:sz w:val="24"/>
                <w:lang w:val="en-US" w:eastAsia="zh-CN"/>
              </w:rPr>
            </w:pPr>
            <w:r>
              <w:rPr>
                <w:rFonts w:eastAsia="宋体" w:cs="Times New Roman"/>
                <w:bCs/>
                <w:sz w:val="24"/>
              </w:rPr>
              <w:t>根据安徽川达检测科技有限公司出具的监测报告可知，实际营运过程中，</w:t>
            </w:r>
            <w:r>
              <w:rPr>
                <w:rFonts w:hint="eastAsia" w:eastAsia="宋体" w:cs="Times New Roman"/>
                <w:bCs/>
                <w:sz w:val="24"/>
                <w:lang w:eastAsia="zh-CN"/>
              </w:rPr>
              <w:t>有组织</w:t>
            </w:r>
            <w:r>
              <w:rPr>
                <w:rFonts w:hint="eastAsia" w:eastAsia="宋体" w:cs="Times New Roman"/>
                <w:bCs/>
                <w:sz w:val="24"/>
              </w:rPr>
              <w:t>排放的</w:t>
            </w:r>
            <w:r>
              <w:rPr>
                <w:rFonts w:hint="eastAsia" w:eastAsia="宋体" w:cs="Times New Roman"/>
                <w:bCs/>
                <w:sz w:val="24"/>
                <w:lang w:eastAsia="zh-CN"/>
              </w:rPr>
              <w:t>颗粒物、</w:t>
            </w:r>
            <w:r>
              <w:rPr>
                <w:rFonts w:hint="eastAsia" w:eastAsia="宋体" w:cs="Times New Roman"/>
                <w:bCs/>
                <w:sz w:val="24"/>
                <w:lang w:val="en-US" w:eastAsia="zh-CN"/>
              </w:rPr>
              <w:t>VOCs</w:t>
            </w:r>
            <w:r>
              <w:rPr>
                <w:rFonts w:hint="eastAsia" w:eastAsia="宋体" w:cs="Times New Roman"/>
                <w:bCs/>
                <w:sz w:val="24"/>
              </w:rPr>
              <w:t>能够</w:t>
            </w:r>
            <w:r>
              <w:rPr>
                <w:rFonts w:eastAsia="宋体" w:cs="Times New Roman"/>
                <w:bCs/>
                <w:sz w:val="24"/>
              </w:rPr>
              <w:t>满足上海市地方标准《大气污染物综合排放标准》</w:t>
            </w:r>
            <w:r>
              <w:rPr>
                <w:rFonts w:hint="eastAsia" w:eastAsia="宋体" w:cs="Times New Roman"/>
                <w:bCs/>
                <w:sz w:val="24"/>
                <w:lang w:eastAsia="zh-CN"/>
              </w:rPr>
              <w:t>（</w:t>
            </w:r>
            <w:r>
              <w:rPr>
                <w:rFonts w:eastAsia="宋体" w:cs="Times New Roman"/>
                <w:bCs/>
                <w:sz w:val="24"/>
              </w:rPr>
              <w:t>DB31/933-2015</w:t>
            </w:r>
            <w:r>
              <w:rPr>
                <w:rFonts w:hint="eastAsia" w:eastAsia="宋体" w:cs="Times New Roman"/>
                <w:bCs/>
                <w:sz w:val="24"/>
                <w:lang w:eastAsia="zh-CN"/>
              </w:rPr>
              <w:t>）</w:t>
            </w:r>
            <w:r>
              <w:rPr>
                <w:rFonts w:eastAsia="宋体" w:cs="Times New Roman"/>
                <w:bCs/>
                <w:sz w:val="24"/>
              </w:rPr>
              <w:t>中的标准要求。</w:t>
            </w:r>
          </w:p>
          <w:p>
            <w:pPr>
              <w:spacing w:line="360" w:lineRule="auto"/>
              <w:jc w:val="center"/>
              <w:rPr>
                <w:rFonts w:hint="eastAsia"/>
                <w:b/>
                <w:bCs/>
                <w:sz w:val="24"/>
                <w:lang w:val="en-US" w:eastAsia="zh-CN"/>
              </w:rPr>
            </w:pPr>
            <w:r>
              <w:rPr>
                <w:rFonts w:hint="eastAsia"/>
                <w:b/>
                <w:bCs/>
                <w:sz w:val="24"/>
                <w:lang w:val="en-US" w:eastAsia="zh-CN"/>
              </w:rPr>
              <w:t>表7.6 有组织监测结果一览表</w:t>
            </w:r>
          </w:p>
          <w:tbl>
            <w:tblPr>
              <w:tblStyle w:val="21"/>
              <w:tblW w:w="4999" w:type="pct"/>
              <w:jc w:val="center"/>
              <w:tblLayout w:type="autofit"/>
              <w:tblCellMar>
                <w:top w:w="0" w:type="dxa"/>
                <w:left w:w="10" w:type="dxa"/>
                <w:bottom w:w="0" w:type="dxa"/>
                <w:right w:w="10" w:type="dxa"/>
              </w:tblCellMar>
            </w:tblPr>
            <w:tblGrid>
              <w:gridCol w:w="2379"/>
              <w:gridCol w:w="1068"/>
              <w:gridCol w:w="964"/>
              <w:gridCol w:w="979"/>
              <w:gridCol w:w="975"/>
              <w:gridCol w:w="964"/>
              <w:gridCol w:w="980"/>
              <w:gridCol w:w="1044"/>
            </w:tblGrid>
            <w:tr>
              <w:tblPrEx>
                <w:tblCellMar>
                  <w:top w:w="0" w:type="dxa"/>
                  <w:left w:w="10" w:type="dxa"/>
                  <w:bottom w:w="0" w:type="dxa"/>
                  <w:right w:w="10" w:type="dxa"/>
                </w:tblCellMar>
              </w:tblPrEx>
              <w:trPr>
                <w:trHeight w:val="437" w:hRule="exact"/>
                <w:jc w:val="center"/>
              </w:trPr>
              <w:tc>
                <w:tcPr>
                  <w:tcW w:w="1843"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检测点位</w:t>
                  </w:r>
                </w:p>
              </w:tc>
              <w:tc>
                <w:tcPr>
                  <w:tcW w:w="3156"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涂装废气合并出口</w:t>
                  </w:r>
                </w:p>
              </w:tc>
            </w:tr>
            <w:tr>
              <w:tblPrEx>
                <w:tblCellMar>
                  <w:top w:w="0" w:type="dxa"/>
                  <w:left w:w="10" w:type="dxa"/>
                  <w:bottom w:w="0" w:type="dxa"/>
                  <w:right w:w="10" w:type="dxa"/>
                </w:tblCellMar>
              </w:tblPrEx>
              <w:trPr>
                <w:trHeight w:val="422" w:hRule="exact"/>
                <w:jc w:val="center"/>
              </w:trPr>
              <w:tc>
                <w:tcPr>
                  <w:tcW w:w="1843" w:type="pct"/>
                  <w:gridSpan w:val="2"/>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监测日期</w:t>
                  </w:r>
                </w:p>
              </w:tc>
              <w:tc>
                <w:tcPr>
                  <w:tcW w:w="1559" w:type="pct"/>
                  <w:gridSpan w:val="3"/>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2022.03.08</w:t>
                  </w:r>
                </w:p>
              </w:tc>
              <w:tc>
                <w:tcPr>
                  <w:tcW w:w="1596" w:type="pct"/>
                  <w:gridSpan w:val="3"/>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2022.03.09</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检测指标</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单位</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①</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②</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③</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④</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⑤</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⑥</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截面积</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r>
                    <w:rPr>
                      <w:rFonts w:hint="default" w:ascii="Times New Roman" w:hAnsi="Times New Roman" w:eastAsia="宋体" w:cs="Times New Roman"/>
                      <w:color w:val="000000"/>
                      <w:spacing w:val="0"/>
                      <w:w w:val="100"/>
                      <w:position w:val="0"/>
                      <w:sz w:val="21"/>
                      <w:szCs w:val="21"/>
                      <w:vertAlign w:val="superscript"/>
                      <w:lang w:val="en-US" w:eastAsia="en-US" w:bidi="en-US"/>
                    </w:rPr>
                    <w:t>2</w:t>
                  </w:r>
                </w:p>
              </w:tc>
              <w:tc>
                <w:tcPr>
                  <w:tcW w:w="3156"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0.5027</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咼度</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p>
              </w:tc>
              <w:tc>
                <w:tcPr>
                  <w:tcW w:w="3156" w:type="pct"/>
                  <w:gridSpan w:val="6"/>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15</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烟气温度</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°C</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19.7</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19.5</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19.6</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19.9</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19.7</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19.9</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烟气流速</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m/s</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13.8</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13.7</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14.0</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13.8</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14.2</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14.2</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标干流量</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r>
                    <w:rPr>
                      <w:rFonts w:hint="default" w:ascii="Times New Roman" w:hAnsi="Times New Roman" w:eastAsia="宋体" w:cs="Times New Roman"/>
                      <w:color w:val="000000"/>
                      <w:spacing w:val="0"/>
                      <w:w w:val="100"/>
                      <w:position w:val="0"/>
                      <w:sz w:val="21"/>
                      <w:szCs w:val="21"/>
                      <w:lang w:val="en-US" w:eastAsia="en-US" w:bidi="en-US"/>
                    </w:rPr>
                    <w:t>/h</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22911</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22748</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23244</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22889</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23553</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23552</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低浓度颗粒物实测浓度</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mg/m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7.0</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7.7</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7.4</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7.1</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6.7</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6.9</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低浓度颗粒物排放速率</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kg/h</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0.160</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0.175</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0.172</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0.163</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0.158</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0.163</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二甲苯实测浓度</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mg/m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2.5x10-3</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2.4x10-3</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ND</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4.5x"</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4.6x10-3</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ND</w:t>
                  </w:r>
                </w:p>
              </w:tc>
            </w:tr>
            <w:tr>
              <w:tblPrEx>
                <w:tblCellMar>
                  <w:top w:w="0" w:type="dxa"/>
                  <w:left w:w="10" w:type="dxa"/>
                  <w:bottom w:w="0" w:type="dxa"/>
                  <w:right w:w="10" w:type="dxa"/>
                </w:tblCellMar>
              </w:tblPrEx>
              <w:trPr>
                <w:trHeight w:val="422"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二甲苯排放速率</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kg/h</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5.73x10-5</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5.46x10-5</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1.03x10-4</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1.08x10-4</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418" w:hRule="exact"/>
                <w:jc w:val="center"/>
              </w:trPr>
              <w:tc>
                <w:tcPr>
                  <w:tcW w:w="1272"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非甲烷总炷实测浓度</w:t>
                  </w:r>
                </w:p>
              </w:tc>
              <w:tc>
                <w:tcPr>
                  <w:tcW w:w="571"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mg/m</w:t>
                  </w:r>
                  <w:r>
                    <w:rPr>
                      <w:rFonts w:hint="default" w:ascii="Times New Roman" w:hAnsi="Times New Roman" w:eastAsia="宋体" w:cs="Times New Roman"/>
                      <w:color w:val="000000"/>
                      <w:spacing w:val="0"/>
                      <w:w w:val="100"/>
                      <w:position w:val="0"/>
                      <w:sz w:val="21"/>
                      <w:szCs w:val="21"/>
                      <w:vertAlign w:val="superscript"/>
                      <w:lang w:val="en-US" w:eastAsia="en-US" w:bidi="en-US"/>
                    </w:rPr>
                    <w:t>3</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5.04</w:t>
                  </w:r>
                </w:p>
              </w:tc>
              <w:tc>
                <w:tcPr>
                  <w:tcW w:w="523"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5.01</w:t>
                  </w:r>
                </w:p>
              </w:tc>
              <w:tc>
                <w:tcPr>
                  <w:tcW w:w="520"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5.24</w:t>
                  </w:r>
                </w:p>
              </w:tc>
              <w:tc>
                <w:tcPr>
                  <w:tcW w:w="515"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5.21</w:t>
                  </w:r>
                </w:p>
              </w:tc>
              <w:tc>
                <w:tcPr>
                  <w:tcW w:w="524" w:type="pct"/>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5.27</w:t>
                  </w:r>
                </w:p>
              </w:tc>
              <w:tc>
                <w:tcPr>
                  <w:tcW w:w="555" w:type="pct"/>
                  <w:tcBorders>
                    <w:top w:val="single" w:color="auto" w:sz="4" w:space="0"/>
                    <w:left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5.29</w:t>
                  </w:r>
                </w:p>
              </w:tc>
            </w:tr>
            <w:tr>
              <w:tblPrEx>
                <w:tblCellMar>
                  <w:top w:w="0" w:type="dxa"/>
                  <w:left w:w="10" w:type="dxa"/>
                  <w:bottom w:w="0" w:type="dxa"/>
                  <w:right w:w="10" w:type="dxa"/>
                </w:tblCellMar>
              </w:tblPrEx>
              <w:trPr>
                <w:trHeight w:val="442" w:hRule="exact"/>
                <w:jc w:val="center"/>
              </w:trPr>
              <w:tc>
                <w:tcPr>
                  <w:tcW w:w="1272"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非甲烷总炷排放速率</w:t>
                  </w:r>
                </w:p>
              </w:tc>
              <w:tc>
                <w:tcPr>
                  <w:tcW w:w="571"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kg/h</w:t>
                  </w:r>
                </w:p>
              </w:tc>
              <w:tc>
                <w:tcPr>
                  <w:tcW w:w="515"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0.115</w:t>
                  </w:r>
                </w:p>
              </w:tc>
              <w:tc>
                <w:tcPr>
                  <w:tcW w:w="523"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0.114</w:t>
                  </w:r>
                </w:p>
              </w:tc>
              <w:tc>
                <w:tcPr>
                  <w:tcW w:w="520"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0.122</w:t>
                  </w:r>
                </w:p>
              </w:tc>
              <w:tc>
                <w:tcPr>
                  <w:tcW w:w="515"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0.119</w:t>
                  </w:r>
                </w:p>
              </w:tc>
              <w:tc>
                <w:tcPr>
                  <w:tcW w:w="524" w:type="pct"/>
                  <w:tcBorders>
                    <w:top w:val="single" w:color="auto" w:sz="4" w:space="0"/>
                    <w:left w:val="single" w:color="auto" w:sz="4" w:space="0"/>
                    <w:bottom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0.124</w:t>
                  </w:r>
                </w:p>
              </w:tc>
              <w:tc>
                <w:tcPr>
                  <w:tcW w:w="555"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0.125</w:t>
                  </w:r>
                </w:p>
              </w:tc>
            </w:tr>
          </w:tbl>
          <w:p>
            <w:pPr>
              <w:spacing w:line="360" w:lineRule="auto"/>
              <w:ind w:firstLine="480" w:firstLineChars="200"/>
              <w:rPr>
                <w:rFonts w:hint="eastAsia"/>
                <w:b/>
                <w:bCs/>
                <w:sz w:val="24"/>
                <w:lang w:val="en-US" w:eastAsia="zh-CN"/>
              </w:rPr>
            </w:pPr>
            <w:r>
              <w:rPr>
                <w:rFonts w:eastAsia="宋体" w:cs="Times New Roman"/>
                <w:bCs/>
                <w:sz w:val="24"/>
              </w:rPr>
              <w:t>根据安徽川达检测科技有限公司出具的监测报告可知，实际营运过程中，</w:t>
            </w:r>
            <w:r>
              <w:rPr>
                <w:rFonts w:hint="eastAsia" w:eastAsia="宋体" w:cs="Times New Roman"/>
                <w:bCs/>
                <w:sz w:val="24"/>
                <w:lang w:eastAsia="zh-CN"/>
              </w:rPr>
              <w:t>有组织</w:t>
            </w:r>
            <w:r>
              <w:rPr>
                <w:rFonts w:hint="eastAsia" w:eastAsia="宋体" w:cs="Times New Roman"/>
                <w:bCs/>
                <w:sz w:val="24"/>
              </w:rPr>
              <w:t>排放的</w:t>
            </w:r>
            <w:r>
              <w:rPr>
                <w:rFonts w:hint="eastAsia" w:eastAsia="宋体" w:cs="Times New Roman"/>
                <w:bCs/>
                <w:sz w:val="24"/>
                <w:lang w:eastAsia="zh-CN"/>
              </w:rPr>
              <w:t>颗粒物、</w:t>
            </w:r>
            <w:r>
              <w:rPr>
                <w:rFonts w:hint="eastAsia" w:eastAsia="宋体" w:cs="Times New Roman"/>
                <w:bCs/>
                <w:sz w:val="24"/>
                <w:lang w:val="en-US" w:eastAsia="zh-CN"/>
              </w:rPr>
              <w:t>VOCs</w:t>
            </w:r>
            <w:r>
              <w:rPr>
                <w:rFonts w:hint="eastAsia" w:eastAsia="宋体" w:cs="Times New Roman"/>
                <w:bCs/>
                <w:sz w:val="24"/>
              </w:rPr>
              <w:t>能够</w:t>
            </w:r>
            <w:r>
              <w:rPr>
                <w:rFonts w:eastAsia="宋体" w:cs="Times New Roman"/>
                <w:bCs/>
                <w:sz w:val="24"/>
              </w:rPr>
              <w:t>满足上海市地方标准《大气污染物综合排放标准》</w:t>
            </w:r>
            <w:r>
              <w:rPr>
                <w:rFonts w:hint="eastAsia" w:eastAsia="宋体" w:cs="Times New Roman"/>
                <w:bCs/>
                <w:sz w:val="24"/>
                <w:lang w:eastAsia="zh-CN"/>
              </w:rPr>
              <w:t>（</w:t>
            </w:r>
            <w:r>
              <w:rPr>
                <w:rFonts w:eastAsia="宋体" w:cs="Times New Roman"/>
                <w:bCs/>
                <w:sz w:val="24"/>
              </w:rPr>
              <w:t>DB31/933-2015</w:t>
            </w:r>
            <w:r>
              <w:rPr>
                <w:rFonts w:hint="eastAsia" w:eastAsia="宋体" w:cs="Times New Roman"/>
                <w:bCs/>
                <w:sz w:val="24"/>
                <w:lang w:eastAsia="zh-CN"/>
              </w:rPr>
              <w:t>）</w:t>
            </w:r>
            <w:r>
              <w:rPr>
                <w:rFonts w:eastAsia="宋体" w:cs="Times New Roman"/>
                <w:bCs/>
                <w:sz w:val="24"/>
              </w:rPr>
              <w:t>中的标准要求。</w:t>
            </w:r>
          </w:p>
          <w:p>
            <w:pPr>
              <w:spacing w:line="360" w:lineRule="auto"/>
              <w:ind w:firstLine="482" w:firstLineChars="200"/>
              <w:rPr>
                <w:b/>
                <w:bCs/>
                <w:sz w:val="24"/>
              </w:rPr>
            </w:pPr>
            <w:r>
              <w:rPr>
                <w:rFonts w:hint="eastAsia"/>
                <w:b/>
                <w:bCs/>
                <w:sz w:val="24"/>
                <w:lang w:val="en-US" w:eastAsia="zh-CN"/>
              </w:rPr>
              <w:t>3</w:t>
            </w:r>
            <w:r>
              <w:rPr>
                <w:rFonts w:hint="eastAsia"/>
                <w:b/>
                <w:bCs/>
                <w:sz w:val="24"/>
              </w:rPr>
              <w:t>、噪声监测结果与分析</w:t>
            </w:r>
          </w:p>
          <w:p>
            <w:pPr>
              <w:spacing w:line="240" w:lineRule="auto"/>
              <w:ind w:firstLine="482" w:firstLineChars="200"/>
              <w:jc w:val="center"/>
              <w:rPr>
                <w:b/>
                <w:bCs/>
                <w:sz w:val="24"/>
              </w:rPr>
            </w:pPr>
            <w:r>
              <w:rPr>
                <w:rFonts w:hAnsi="宋体"/>
                <w:b/>
                <w:bCs/>
                <w:sz w:val="24"/>
              </w:rPr>
              <w:t>表</w:t>
            </w:r>
            <w:r>
              <w:rPr>
                <w:rFonts w:hint="eastAsia"/>
                <w:b/>
                <w:bCs/>
                <w:sz w:val="24"/>
              </w:rPr>
              <w:t>7.</w:t>
            </w:r>
            <w:r>
              <w:rPr>
                <w:rFonts w:hint="eastAsia"/>
                <w:b/>
                <w:bCs/>
                <w:sz w:val="24"/>
                <w:lang w:val="en-US" w:eastAsia="zh-CN"/>
              </w:rPr>
              <w:t>7</w:t>
            </w:r>
            <w:r>
              <w:rPr>
                <w:rFonts w:hint="eastAsia"/>
                <w:b/>
                <w:bCs/>
                <w:sz w:val="24"/>
              </w:rPr>
              <w:t xml:space="preserve">  </w:t>
            </w:r>
            <w:r>
              <w:rPr>
                <w:rFonts w:hAnsi="宋体"/>
                <w:b/>
                <w:bCs/>
                <w:sz w:val="24"/>
              </w:rPr>
              <w:t>噪声监测结果统计表</w:t>
            </w:r>
          </w:p>
          <w:tbl>
            <w:tblPr>
              <w:tblStyle w:val="21"/>
              <w:tblW w:w="4996"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 w:type="dxa"/>
                <w:bottom w:w="0" w:type="dxa"/>
                <w:right w:w="10" w:type="dxa"/>
              </w:tblCellMar>
            </w:tblPr>
            <w:tblGrid>
              <w:gridCol w:w="1493"/>
              <w:gridCol w:w="1168"/>
              <w:gridCol w:w="1798"/>
              <w:gridCol w:w="1665"/>
              <w:gridCol w:w="809"/>
              <w:gridCol w:w="1590"/>
              <w:gridCol w:w="815"/>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09" w:hRule="exact"/>
                <w:jc w:val="center"/>
              </w:trPr>
              <w:tc>
                <w:tcPr>
                  <w:tcW w:w="799" w:type="pct"/>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监测日期</w:t>
                  </w:r>
                </w:p>
              </w:tc>
              <w:tc>
                <w:tcPr>
                  <w:tcW w:w="625" w:type="pct"/>
                  <w:tcBorders>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测点编号</w:t>
                  </w:r>
                </w:p>
              </w:tc>
              <w:tc>
                <w:tcPr>
                  <w:tcW w:w="962" w:type="pct"/>
                  <w:tcBorders>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测点位置</w:t>
                  </w:r>
                </w:p>
              </w:tc>
              <w:tc>
                <w:tcPr>
                  <w:tcW w:w="891" w:type="pct"/>
                  <w:tcBorders>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测试时间</w:t>
                  </w:r>
                </w:p>
              </w:tc>
              <w:tc>
                <w:tcPr>
                  <w:tcW w:w="433" w:type="pct"/>
                  <w:tcBorders>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昼间</w:t>
                  </w:r>
                </w:p>
              </w:tc>
              <w:tc>
                <w:tcPr>
                  <w:tcW w:w="851" w:type="pct"/>
                  <w:tcBorders>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测试时间</w:t>
                  </w:r>
                </w:p>
              </w:tc>
              <w:tc>
                <w:tcPr>
                  <w:tcW w:w="436" w:type="pct"/>
                  <w:tcBorders>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center"/>
                    <w:textAlignment w:val="auto"/>
                    <w:rPr>
                      <w:sz w:val="21"/>
                      <w:szCs w:val="21"/>
                    </w:rPr>
                  </w:pPr>
                  <w:r>
                    <w:rPr>
                      <w:rFonts w:ascii="宋体" w:hAnsi="宋体" w:eastAsia="宋体" w:cs="宋体"/>
                      <w:color w:val="000000"/>
                      <w:spacing w:val="0"/>
                      <w:w w:val="100"/>
                      <w:position w:val="0"/>
                      <w:sz w:val="21"/>
                      <w:szCs w:val="21"/>
                      <w:lang w:val="zh-TW" w:eastAsia="zh-TW" w:bidi="zh-TW"/>
                    </w:rPr>
                    <w:t>夜间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80" w:hRule="exact"/>
                <w:jc w:val="center"/>
              </w:trPr>
              <w:tc>
                <w:tcPr>
                  <w:tcW w:w="1493" w:type="dxa"/>
                  <w:vMerge w:val="restart"/>
                  <w:tcBorders>
                    <w:top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2022.03.08</w:t>
                  </w: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N1</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东厂界外</w:t>
                  </w:r>
                  <w:r>
                    <w:rPr>
                      <w:rFonts w:ascii="Times New Roman" w:hAnsi="Times New Roman" w:eastAsia="Times New Roman" w:cs="Times New Roman"/>
                      <w:color w:val="000000"/>
                      <w:spacing w:val="0"/>
                      <w:w w:val="100"/>
                      <w:position w:val="0"/>
                      <w:sz w:val="21"/>
                      <w:szCs w:val="21"/>
                      <w:lang w:val="en-US" w:eastAsia="en-US" w:bidi="en-US"/>
                    </w:rPr>
                    <w:t>Im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12:01-12:02</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62</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22:20-22:21</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85" w:hRule="exact"/>
                <w:jc w:val="center"/>
              </w:trPr>
              <w:tc>
                <w:tcPr>
                  <w:tcW w:w="1493"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sz w:val="21"/>
                      <w:szCs w:val="21"/>
                    </w:rPr>
                  </w:pP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N2</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南厂界外</w:t>
                  </w:r>
                  <w:r>
                    <w:rPr>
                      <w:rFonts w:ascii="Times New Roman" w:hAnsi="Times New Roman" w:eastAsia="Times New Roman" w:cs="Times New Roman"/>
                      <w:color w:val="000000"/>
                      <w:spacing w:val="0"/>
                      <w:w w:val="100"/>
                      <w:position w:val="0"/>
                      <w:sz w:val="21"/>
                      <w:szCs w:val="21"/>
                      <w:lang w:val="en-US" w:eastAsia="en-US" w:bidi="en-US"/>
                    </w:rPr>
                    <w:t>Im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12:06-12:07</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63</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22:27-22:28</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42" w:hRule="exact"/>
                <w:jc w:val="center"/>
              </w:trPr>
              <w:tc>
                <w:tcPr>
                  <w:tcW w:w="1493"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sz w:val="21"/>
                      <w:szCs w:val="21"/>
                    </w:rPr>
                  </w:pP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N3</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西厂界外</w:t>
                  </w:r>
                  <w:r>
                    <w:rPr>
                      <w:rFonts w:ascii="Times New Roman" w:hAnsi="Times New Roman" w:eastAsia="Times New Roman" w:cs="Times New Roman"/>
                      <w:color w:val="000000"/>
                      <w:spacing w:val="0"/>
                      <w:w w:val="100"/>
                      <w:position w:val="0"/>
                      <w:sz w:val="21"/>
                      <w:szCs w:val="21"/>
                      <w:lang w:val="en-US" w:eastAsia="en-US" w:bidi="en-US"/>
                    </w:rPr>
                    <w:t>lm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12:12-12:13</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60</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22:34-22:35</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61" w:hRule="exact"/>
                <w:jc w:val="center"/>
              </w:trPr>
              <w:tc>
                <w:tcPr>
                  <w:tcW w:w="1493"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sz w:val="21"/>
                      <w:szCs w:val="21"/>
                    </w:rPr>
                  </w:pP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N4</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北厂界外</w:t>
                  </w:r>
                  <w:r>
                    <w:rPr>
                      <w:rFonts w:ascii="Times New Roman" w:hAnsi="Times New Roman" w:eastAsia="Times New Roman" w:cs="Times New Roman"/>
                      <w:color w:val="000000"/>
                      <w:spacing w:val="0"/>
                      <w:w w:val="100"/>
                      <w:position w:val="0"/>
                      <w:sz w:val="21"/>
                      <w:szCs w:val="21"/>
                      <w:lang w:val="en-US" w:eastAsia="en-US" w:bidi="en-US"/>
                    </w:rPr>
                    <w:t>Im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12:19-12:20</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61</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22:41-22:42</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61" w:hRule="exact"/>
                <w:jc w:val="center"/>
              </w:trPr>
              <w:tc>
                <w:tcPr>
                  <w:tcW w:w="1493" w:type="dxa"/>
                  <w:vMerge w:val="restart"/>
                  <w:tcBorders>
                    <w:top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2022.03.09</w:t>
                  </w: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N1</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东厂界外</w:t>
                  </w:r>
                  <w:r>
                    <w:rPr>
                      <w:rFonts w:ascii="Times New Roman" w:hAnsi="Times New Roman" w:eastAsia="Times New Roman" w:cs="Times New Roman"/>
                      <w:color w:val="000000"/>
                      <w:spacing w:val="0"/>
                      <w:w w:val="100"/>
                      <w:position w:val="0"/>
                      <w:sz w:val="21"/>
                      <w:szCs w:val="21"/>
                      <w:lang w:val="en-US" w:eastAsia="en-US" w:bidi="en-US"/>
                    </w:rPr>
                    <w:t>lm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09:42-09:43</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61</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22:33-22:34</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54</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61" w:hRule="exact"/>
                <w:jc w:val="center"/>
              </w:trPr>
              <w:tc>
                <w:tcPr>
                  <w:tcW w:w="1493"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sz w:val="21"/>
                      <w:szCs w:val="21"/>
                    </w:rPr>
                  </w:pP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N2</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南厂界外</w:t>
                  </w:r>
                  <w:r>
                    <w:rPr>
                      <w:rFonts w:ascii="Times New Roman" w:hAnsi="Times New Roman" w:eastAsia="Times New Roman" w:cs="Times New Roman"/>
                      <w:color w:val="000000"/>
                      <w:spacing w:val="0"/>
                      <w:w w:val="100"/>
                      <w:position w:val="0"/>
                      <w:sz w:val="21"/>
                      <w:szCs w:val="21"/>
                      <w:lang w:val="en-US" w:eastAsia="en-US" w:bidi="en-US"/>
                    </w:rPr>
                    <w:t>lm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09:47-09:48</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62</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22:41-22:42</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66" w:hRule="exact"/>
                <w:jc w:val="center"/>
              </w:trPr>
              <w:tc>
                <w:tcPr>
                  <w:tcW w:w="1493"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sz w:val="21"/>
                      <w:szCs w:val="21"/>
                    </w:rPr>
                  </w:pP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N3</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西厂界外</w:t>
                  </w:r>
                  <w:r>
                    <w:rPr>
                      <w:rFonts w:ascii="Times New Roman" w:hAnsi="Times New Roman" w:eastAsia="Times New Roman" w:cs="Times New Roman"/>
                      <w:color w:val="000000"/>
                      <w:spacing w:val="0"/>
                      <w:w w:val="100"/>
                      <w:position w:val="0"/>
                      <w:sz w:val="21"/>
                      <w:szCs w:val="21"/>
                      <w:lang w:val="en-US" w:eastAsia="en-US" w:bidi="en-US"/>
                    </w:rPr>
                    <w:t>lm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09:53-09:54</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62</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22:47-22:48</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61" w:hRule="exact"/>
                <w:jc w:val="center"/>
              </w:trPr>
              <w:tc>
                <w:tcPr>
                  <w:tcW w:w="1493"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sz w:val="21"/>
                      <w:szCs w:val="21"/>
                    </w:rPr>
                  </w:pPr>
                </w:p>
              </w:tc>
              <w:tc>
                <w:tcPr>
                  <w:tcW w:w="116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N4</w:t>
                  </w:r>
                </w:p>
              </w:tc>
              <w:tc>
                <w:tcPr>
                  <w:tcW w:w="1798"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宋体" w:hAnsi="宋体" w:eastAsia="宋体" w:cs="宋体"/>
                      <w:color w:val="000000"/>
                      <w:spacing w:val="0"/>
                      <w:w w:val="100"/>
                      <w:position w:val="0"/>
                      <w:sz w:val="21"/>
                      <w:szCs w:val="21"/>
                      <w:lang w:val="zh-TW" w:eastAsia="zh-TW" w:bidi="zh-TW"/>
                    </w:rPr>
                    <w:t>北厂界外</w:t>
                  </w:r>
                  <w:r>
                    <w:rPr>
                      <w:rFonts w:ascii="Times New Roman" w:hAnsi="Times New Roman" w:eastAsia="Times New Roman" w:cs="Times New Roman"/>
                      <w:color w:val="000000"/>
                      <w:spacing w:val="0"/>
                      <w:w w:val="100"/>
                      <w:position w:val="0"/>
                      <w:sz w:val="21"/>
                      <w:szCs w:val="21"/>
                      <w:lang w:val="en-US" w:eastAsia="en-US" w:bidi="en-US"/>
                    </w:rPr>
                    <w:t>lm</w:t>
                  </w:r>
                </w:p>
              </w:tc>
              <w:tc>
                <w:tcPr>
                  <w:tcW w:w="166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09:58-09:59</w:t>
                  </w:r>
                </w:p>
              </w:tc>
              <w:tc>
                <w:tcPr>
                  <w:tcW w:w="809"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62</w:t>
                  </w:r>
                </w:p>
              </w:tc>
              <w:tc>
                <w:tcPr>
                  <w:tcW w:w="1590"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22:54-22:55</w:t>
                  </w:r>
                </w:p>
              </w:tc>
              <w:tc>
                <w:tcPr>
                  <w:tcW w:w="815" w:type="dxa"/>
                  <w:tcBorders>
                    <w:top w:val="single" w:color="auto" w:sz="4" w:space="0"/>
                    <w:left w:val="single" w:color="auto" w:sz="4" w:space="0"/>
                  </w:tcBorders>
                  <w:shd w:val="clear" w:color="auto" w:fill="FFFFFF"/>
                  <w:vAlign w:val="center"/>
                </w:tcPr>
                <w:p>
                  <w:pPr>
                    <w:pStyle w:val="4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zh-TW" w:eastAsia="zh-TW" w:bidi="zh-TW"/>
                    </w:rPr>
                    <w:t>52</w:t>
                  </w:r>
                </w:p>
              </w:tc>
            </w:tr>
          </w:tbl>
          <w:p>
            <w:pPr>
              <w:spacing w:line="360" w:lineRule="auto"/>
              <w:ind w:firstLine="480" w:firstLineChars="200"/>
              <w:rPr>
                <w:rFonts w:hint="eastAsia" w:eastAsia="宋体" w:cs="Times New Roman"/>
                <w:bCs/>
                <w:sz w:val="24"/>
                <w:szCs w:val="24"/>
                <w:lang w:val="en-US" w:eastAsia="zh-CN"/>
              </w:rPr>
            </w:pPr>
            <w:r>
              <w:rPr>
                <w:sz w:val="24"/>
              </w:rPr>
              <w:t>根据上表可知，</w:t>
            </w:r>
            <w:r>
              <w:rPr>
                <w:rFonts w:hint="eastAsia" w:hAnsi="宋体"/>
                <w:bCs/>
                <w:color w:val="000000"/>
                <w:sz w:val="24"/>
              </w:rPr>
              <w:t>根据监测结果表明</w:t>
            </w:r>
            <w:r>
              <w:rPr>
                <w:rFonts w:eastAsia="宋体" w:cs="Times New Roman"/>
                <w:color w:val="0D0D0D" w:themeColor="text1" w:themeTint="F2"/>
                <w:sz w:val="24"/>
                <w14:textFill>
                  <w14:solidFill>
                    <w14:schemeClr w14:val="tx1">
                      <w14:lumMod w14:val="95000"/>
                      <w14:lumOff w14:val="5000"/>
                    </w14:schemeClr>
                  </w14:solidFill>
                </w14:textFill>
              </w:rPr>
              <w:t>，</w:t>
            </w:r>
            <w:r>
              <w:rPr>
                <w:rFonts w:hint="eastAsia" w:eastAsia="宋体" w:cs="Times New Roman"/>
                <w:color w:val="0D0D0D" w:themeColor="text1" w:themeTint="F2"/>
                <w:sz w:val="24"/>
                <w14:textFill>
                  <w14:solidFill>
                    <w14:schemeClr w14:val="tx1">
                      <w14:lumMod w14:val="95000"/>
                      <w14:lumOff w14:val="5000"/>
                    </w14:schemeClr>
                  </w14:solidFill>
                </w14:textFill>
              </w:rPr>
              <w:t>厂界噪声</w:t>
            </w:r>
            <w:r>
              <w:rPr>
                <w:rFonts w:hint="eastAsia" w:eastAsia="宋体" w:cs="Times New Roman"/>
                <w:bCs/>
                <w:sz w:val="24"/>
                <w:szCs w:val="24"/>
                <w:lang w:eastAsia="zh-CN"/>
              </w:rPr>
              <w:t>满足</w:t>
            </w:r>
            <w:r>
              <w:rPr>
                <w:rFonts w:hint="eastAsia" w:ascii="Times New Roman" w:hAnsi="Times New Roman" w:eastAsia="宋体" w:cs="Times New Roman"/>
                <w:bCs/>
                <w:sz w:val="24"/>
                <w:szCs w:val="24"/>
              </w:rPr>
              <w:t>《工业企业厂界环境噪声排放标准》（GB12348-2008）中</w:t>
            </w:r>
            <w:r>
              <w:rPr>
                <w:rFonts w:hint="eastAsia" w:eastAsia="宋体" w:cs="Times New Roman"/>
                <w:bCs/>
                <w:sz w:val="24"/>
                <w:szCs w:val="24"/>
                <w:lang w:val="en-US" w:eastAsia="zh-CN"/>
              </w:rPr>
              <w:t>3</w:t>
            </w:r>
            <w:r>
              <w:rPr>
                <w:rFonts w:hint="eastAsia" w:ascii="Times New Roman" w:hAnsi="Times New Roman" w:eastAsia="宋体" w:cs="Times New Roman"/>
                <w:bCs/>
                <w:sz w:val="24"/>
                <w:szCs w:val="24"/>
              </w:rPr>
              <w:t>类区标准</w:t>
            </w:r>
            <w:r>
              <w:rPr>
                <w:rFonts w:hint="eastAsia" w:eastAsia="宋体" w:cs="Times New Roman"/>
                <w:bCs/>
                <w:sz w:val="24"/>
                <w:szCs w:val="24"/>
                <w:lang w:eastAsia="zh-CN"/>
              </w:rPr>
              <w:t>。</w:t>
            </w:r>
            <w:r>
              <w:rPr>
                <w:rFonts w:hint="eastAsia" w:eastAsia="宋体" w:cs="Times New Roman"/>
                <w:bCs/>
                <w:sz w:val="24"/>
                <w:szCs w:val="24"/>
                <w:lang w:val="en-US" w:eastAsia="zh-CN"/>
              </w:rPr>
              <w:t xml:space="preserve">  </w:t>
            </w:r>
          </w:p>
          <w:p>
            <w:pPr>
              <w:spacing w:line="360" w:lineRule="auto"/>
              <w:ind w:firstLine="480" w:firstLineChars="200"/>
              <w:rPr>
                <w:rFonts w:hint="eastAsia" w:eastAsia="宋体" w:cs="Times New Roman"/>
                <w:bCs/>
                <w:sz w:val="24"/>
                <w:szCs w:val="24"/>
                <w:lang w:val="en-US" w:eastAsia="zh-CN"/>
              </w:rPr>
            </w:pPr>
          </w:p>
          <w:p>
            <w:pPr>
              <w:spacing w:line="360" w:lineRule="auto"/>
              <w:ind w:firstLine="480" w:firstLineChars="200"/>
              <w:rPr>
                <w:rFonts w:hint="eastAsia" w:eastAsia="宋体" w:cs="Times New Roman"/>
                <w:bCs/>
                <w:sz w:val="24"/>
                <w:szCs w:val="24"/>
                <w:lang w:val="en-US" w:eastAsia="zh-CN"/>
              </w:rPr>
            </w:pPr>
          </w:p>
          <w:p>
            <w:pPr>
              <w:spacing w:line="360" w:lineRule="auto"/>
              <w:ind w:firstLine="480" w:firstLineChars="200"/>
              <w:rPr>
                <w:rFonts w:hint="eastAsia" w:eastAsia="宋体" w:cs="Times New Roman"/>
                <w:bCs/>
                <w:sz w:val="24"/>
                <w:szCs w:val="24"/>
                <w:lang w:val="en-US" w:eastAsia="zh-CN"/>
              </w:rPr>
            </w:pPr>
          </w:p>
          <w:p>
            <w:pPr>
              <w:spacing w:line="360" w:lineRule="auto"/>
              <w:ind w:firstLine="480" w:firstLineChars="200"/>
              <w:rPr>
                <w:rFonts w:hint="eastAsia" w:eastAsia="宋体" w:cs="Times New Roman"/>
                <w:bCs/>
                <w:sz w:val="24"/>
                <w:szCs w:val="24"/>
                <w:lang w:val="en-US" w:eastAsia="zh-CN"/>
              </w:rPr>
            </w:pPr>
          </w:p>
          <w:p>
            <w:pPr>
              <w:spacing w:line="360" w:lineRule="auto"/>
              <w:ind w:firstLine="480" w:firstLineChars="200"/>
              <w:rPr>
                <w:rFonts w:hint="eastAsia" w:eastAsia="宋体" w:cs="Times New Roman"/>
                <w:bCs/>
                <w:sz w:val="24"/>
                <w:szCs w:val="24"/>
                <w:lang w:val="en-US" w:eastAsia="zh-CN"/>
              </w:rPr>
            </w:pPr>
          </w:p>
          <w:p>
            <w:pPr>
              <w:spacing w:line="360" w:lineRule="auto"/>
              <w:ind w:firstLine="480" w:firstLineChars="200"/>
              <w:rPr>
                <w:rFonts w:hint="eastAsia" w:eastAsia="宋体" w:cs="Times New Roman"/>
                <w:bCs/>
                <w:sz w:val="24"/>
                <w:szCs w:val="24"/>
                <w:lang w:val="en-US" w:eastAsia="zh-CN"/>
              </w:rPr>
            </w:pPr>
          </w:p>
          <w:p>
            <w:pPr>
              <w:spacing w:line="360" w:lineRule="auto"/>
              <w:ind w:firstLine="480" w:firstLineChars="200"/>
              <w:rPr>
                <w:rFonts w:hint="eastAsia" w:eastAsia="宋体" w:cs="Times New Roman"/>
                <w:bCs/>
                <w:sz w:val="24"/>
                <w:szCs w:val="24"/>
                <w:lang w:val="en-US" w:eastAsia="zh-CN"/>
              </w:rPr>
            </w:pPr>
          </w:p>
          <w:p>
            <w:pPr>
              <w:spacing w:line="360" w:lineRule="auto"/>
              <w:ind w:firstLine="480" w:firstLineChars="200"/>
              <w:rPr>
                <w:rFonts w:hint="eastAsia" w:eastAsia="宋体" w:cs="Times New Roman"/>
                <w:bCs/>
                <w:sz w:val="24"/>
                <w:szCs w:val="24"/>
                <w:lang w:val="en-US" w:eastAsia="zh-CN"/>
              </w:rPr>
            </w:pPr>
          </w:p>
          <w:p>
            <w:pPr>
              <w:spacing w:line="360" w:lineRule="auto"/>
              <w:rPr>
                <w:rFonts w:hint="default"/>
                <w:lang w:val="en-US"/>
              </w:rPr>
            </w:pPr>
          </w:p>
        </w:tc>
      </w:tr>
    </w:tbl>
    <w:p>
      <w:pPr>
        <w:rPr>
          <w:b/>
          <w:sz w:val="28"/>
          <w:szCs w:val="28"/>
        </w:rPr>
      </w:pPr>
      <w:r>
        <w:rPr>
          <w:rFonts w:hint="eastAsia"/>
          <w:b/>
          <w:sz w:val="28"/>
          <w:szCs w:val="28"/>
        </w:rPr>
        <w:br w:type="page"/>
      </w:r>
    </w:p>
    <w:p>
      <w:pPr>
        <w:spacing w:line="480" w:lineRule="exact"/>
        <w:jc w:val="left"/>
        <w:rPr>
          <w:b/>
          <w:sz w:val="28"/>
          <w:szCs w:val="28"/>
        </w:rPr>
      </w:pPr>
      <w:r>
        <w:rPr>
          <w:rFonts w:hint="eastAsia"/>
          <w:b/>
          <w:sz w:val="28"/>
          <w:szCs w:val="28"/>
        </w:rPr>
        <w:t xml:space="preserve">表八 </w:t>
      </w:r>
    </w:p>
    <w:tbl>
      <w:tblPr>
        <w:tblStyle w:val="21"/>
        <w:tblW w:w="9416" w:type="dxa"/>
        <w:tblInd w:w="-4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4" w:hRule="atLeast"/>
        </w:trPr>
        <w:tc>
          <w:tcPr>
            <w:tcW w:w="9416" w:type="dxa"/>
          </w:tcPr>
          <w:p>
            <w:pPr>
              <w:tabs>
                <w:tab w:val="left" w:pos="3480"/>
              </w:tabs>
              <w:spacing w:line="360" w:lineRule="auto"/>
              <w:outlineLvl w:val="0"/>
              <w:rPr>
                <w:rFonts w:cs="Times New Roman"/>
                <w:b/>
                <w:bCs/>
                <w:color w:val="0D0D0D" w:themeColor="text1" w:themeTint="F2"/>
                <w:sz w:val="24"/>
                <w14:textFill>
                  <w14:solidFill>
                    <w14:schemeClr w14:val="tx1">
                      <w14:lumMod w14:val="95000"/>
                      <w14:lumOff w14:val="5000"/>
                    </w14:schemeClr>
                  </w14:solidFill>
                </w14:textFill>
              </w:rPr>
            </w:pPr>
            <w:bookmarkStart w:id="48" w:name="_Toc1609"/>
            <w:bookmarkStart w:id="49" w:name="_Toc24842"/>
            <w:r>
              <w:rPr>
                <w:rFonts w:hint="eastAsia" w:cs="Times New Roman"/>
                <w:b/>
                <w:bCs/>
                <w:color w:val="0D0D0D" w:themeColor="text1" w:themeTint="F2"/>
                <w:sz w:val="24"/>
                <w:lang w:eastAsia="zh-CN"/>
                <w14:textFill>
                  <w14:solidFill>
                    <w14:schemeClr w14:val="tx1">
                      <w14:lumMod w14:val="95000"/>
                      <w14:lumOff w14:val="5000"/>
                    </w14:schemeClr>
                  </w14:solidFill>
                </w14:textFill>
              </w:rPr>
              <w:t>一、</w:t>
            </w:r>
            <w:r>
              <w:rPr>
                <w:rFonts w:hint="eastAsia" w:cs="Times New Roman"/>
                <w:b/>
                <w:bCs/>
                <w:color w:val="0D0D0D" w:themeColor="text1" w:themeTint="F2"/>
                <w:sz w:val="24"/>
                <w14:textFill>
                  <w14:solidFill>
                    <w14:schemeClr w14:val="tx1">
                      <w14:lumMod w14:val="95000"/>
                      <w14:lumOff w14:val="5000"/>
                    </w14:schemeClr>
                  </w14:solidFill>
                </w14:textFill>
              </w:rPr>
              <w:t>验收监测结论：</w:t>
            </w:r>
          </w:p>
          <w:p>
            <w:pPr>
              <w:tabs>
                <w:tab w:val="left" w:pos="3480"/>
              </w:tabs>
              <w:spacing w:line="360" w:lineRule="auto"/>
              <w:ind w:firstLine="482" w:firstLineChars="200"/>
              <w:outlineLvl w:val="0"/>
              <w:rPr>
                <w:rFonts w:cs="Times New Roman"/>
                <w:b/>
                <w:bCs/>
                <w:color w:val="0D0D0D" w:themeColor="text1" w:themeTint="F2"/>
                <w:sz w:val="24"/>
                <w14:textFill>
                  <w14:solidFill>
                    <w14:schemeClr w14:val="tx1">
                      <w14:lumMod w14:val="95000"/>
                      <w14:lumOff w14:val="5000"/>
                    </w14:schemeClr>
                  </w14:solidFill>
                </w14:textFill>
              </w:rPr>
            </w:pPr>
            <w:r>
              <w:rPr>
                <w:rFonts w:hint="eastAsia" w:cs="Times New Roman"/>
                <w:b/>
                <w:bCs/>
                <w:color w:val="0D0D0D" w:themeColor="text1" w:themeTint="F2"/>
                <w:sz w:val="24"/>
                <w14:textFill>
                  <w14:solidFill>
                    <w14:schemeClr w14:val="tx1">
                      <w14:lumMod w14:val="95000"/>
                      <w14:lumOff w14:val="5000"/>
                    </w14:schemeClr>
                  </w14:solidFill>
                </w14:textFill>
              </w:rPr>
              <w:t>1、工况及</w:t>
            </w:r>
            <w:r>
              <w:rPr>
                <w:rFonts w:cs="Times New Roman"/>
                <w:b/>
                <w:bCs/>
                <w:color w:val="0D0D0D" w:themeColor="text1" w:themeTint="F2"/>
                <w:sz w:val="24"/>
                <w14:textFill>
                  <w14:solidFill>
                    <w14:schemeClr w14:val="tx1">
                      <w14:lumMod w14:val="95000"/>
                      <w14:lumOff w14:val="5000"/>
                    </w14:schemeClr>
                  </w14:solidFill>
                </w14:textFill>
              </w:rPr>
              <w:t>“三同时”执行情况</w:t>
            </w:r>
            <w:bookmarkEnd w:id="48"/>
            <w:bookmarkEnd w:id="49"/>
          </w:p>
          <w:p>
            <w:pPr>
              <w:pStyle w:val="27"/>
              <w:keepNext w:val="0"/>
              <w:keepLines w:val="0"/>
              <w:pageBreakBefore w:val="0"/>
              <w:kinsoku/>
              <w:wordWrap/>
              <w:overflowPunct/>
              <w:topLinePunct w:val="0"/>
              <w:autoSpaceDE/>
              <w:autoSpaceDN/>
              <w:bidi w:val="0"/>
              <w:adjustRightInd/>
              <w:snapToGrid/>
              <w:spacing w:line="360" w:lineRule="auto"/>
              <w:ind w:firstLine="482"/>
              <w:textAlignment w:val="auto"/>
              <w:outlineLvl w:val="1"/>
              <w:rPr>
                <w:rFonts w:cs="Times New Roman"/>
                <w:bCs/>
                <w:color w:val="0D0D0D" w:themeColor="text1" w:themeTint="F2"/>
                <w:sz w:val="24"/>
                <w14:textFill>
                  <w14:solidFill>
                    <w14:schemeClr w14:val="tx1">
                      <w14:lumMod w14:val="95000"/>
                      <w14:lumOff w14:val="5000"/>
                    </w14:schemeClr>
                  </w14:solidFill>
                </w14:textFill>
              </w:rPr>
            </w:pPr>
            <w:r>
              <w:rPr>
                <w:rFonts w:hint="default" w:ascii="Times New Roman" w:hAnsi="Times New Roman" w:eastAsia="宋体" w:cs="Times New Roman"/>
                <w:sz w:val="24"/>
                <w:szCs w:val="24"/>
              </w:rPr>
              <w:t>安徽泉生楼梯有限公司实木楼梯家具加工项目已按照国家有关建设项目环境管理法规要求，进行了环境影响评价，工程相应的环</w:t>
            </w:r>
            <w:r>
              <w:rPr>
                <w:rFonts w:ascii="宋体" w:hAnsi="宋体" w:eastAsia="宋体" w:cs="宋体"/>
                <w:sz w:val="24"/>
                <w:szCs w:val="24"/>
              </w:rPr>
              <w:t>保设施与主体工程同时设计、同时施工、同时投入使用，基本符合“三同时”的要求。建设内容组成不涉及重大变动，已按照《排污许可管理办法（试行）》和《固定污染源排污许可分类名录》（</w:t>
            </w:r>
            <w:r>
              <w:rPr>
                <w:rFonts w:hint="default" w:ascii="Times New Roman" w:hAnsi="Times New Roman" w:eastAsia="宋体" w:cs="Times New Roman"/>
                <w:sz w:val="24"/>
                <w:szCs w:val="24"/>
              </w:rPr>
              <w:t>2019</w:t>
            </w:r>
            <w:r>
              <w:rPr>
                <w:rFonts w:ascii="宋体" w:hAnsi="宋体" w:eastAsia="宋体" w:cs="宋体"/>
                <w:sz w:val="24"/>
                <w:szCs w:val="24"/>
              </w:rPr>
              <w:t>年版）完成排污许可</w:t>
            </w:r>
            <w:r>
              <w:rPr>
                <w:rFonts w:hint="eastAsia" w:ascii="宋体" w:hAnsi="宋体" w:cs="宋体"/>
                <w:sz w:val="24"/>
                <w:szCs w:val="24"/>
                <w:lang w:eastAsia="zh-CN"/>
              </w:rPr>
              <w:t>证</w:t>
            </w:r>
            <w:r>
              <w:rPr>
                <w:rFonts w:ascii="宋体" w:hAnsi="宋体" w:eastAsia="宋体" w:cs="宋体"/>
                <w:sz w:val="24"/>
                <w:szCs w:val="24"/>
              </w:rPr>
              <w:t>，符合《建设项目竣工环境保护验收暂行办法》规定，现场检查符合验收条件。</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生产调试期间，委托</w:t>
            </w:r>
            <w:r>
              <w:rPr>
                <w:rFonts w:ascii="宋体" w:hAnsi="宋体" w:eastAsia="宋体" w:cs="宋体"/>
                <w:color w:val="000000" w:themeColor="text1"/>
                <w:sz w:val="24"/>
                <w:szCs w:val="24"/>
                <w14:textFill>
                  <w14:solidFill>
                    <w14:schemeClr w14:val="tx1"/>
                  </w14:solidFill>
                </w14:textFill>
              </w:rPr>
              <w:t>安徽川达检测科技有限公司</w:t>
            </w:r>
            <w:r>
              <w:rPr>
                <w:rFonts w:ascii="宋体" w:hAnsi="宋体" w:eastAsia="宋体" w:cs="宋体"/>
                <w:sz w:val="24"/>
                <w:szCs w:val="24"/>
              </w:rPr>
              <w:t>现场监测，各类环保设施运行正常，满足验收监测技术规范要求。监测结果具有代表性。</w:t>
            </w:r>
          </w:p>
          <w:p>
            <w:pPr>
              <w:pStyle w:val="27"/>
              <w:spacing w:line="360" w:lineRule="auto"/>
              <w:ind w:firstLine="482"/>
              <w:jc w:val="both"/>
              <w:outlineLvl w:val="1"/>
              <w:rPr>
                <w:rFonts w:cs="Times New Roman"/>
                <w:b/>
                <w:bCs/>
                <w:color w:val="0D0D0D" w:themeColor="text1" w:themeTint="F2"/>
                <w:sz w:val="24"/>
                <w14:textFill>
                  <w14:solidFill>
                    <w14:schemeClr w14:val="tx1">
                      <w14:lumMod w14:val="95000"/>
                      <w14:lumOff w14:val="5000"/>
                    </w14:schemeClr>
                  </w14:solidFill>
                </w14:textFill>
              </w:rPr>
            </w:pPr>
            <w:bookmarkStart w:id="50" w:name="_Toc16263"/>
            <w:bookmarkStart w:id="51" w:name="_Toc6969"/>
            <w:bookmarkStart w:id="52" w:name="_Toc512519602"/>
            <w:r>
              <w:rPr>
                <w:rFonts w:hint="eastAsia" w:cs="Times New Roman"/>
                <w:b/>
                <w:bCs/>
                <w:color w:val="0D0D0D" w:themeColor="text1" w:themeTint="F2"/>
                <w:sz w:val="24"/>
                <w14:textFill>
                  <w14:solidFill>
                    <w14:schemeClr w14:val="tx1">
                      <w14:lumMod w14:val="95000"/>
                      <w14:lumOff w14:val="5000"/>
                    </w14:schemeClr>
                  </w14:solidFill>
                </w14:textFill>
              </w:rPr>
              <w:t>2、</w:t>
            </w:r>
            <w:bookmarkEnd w:id="50"/>
            <w:bookmarkEnd w:id="51"/>
            <w:bookmarkEnd w:id="52"/>
            <w:r>
              <w:rPr>
                <w:rFonts w:hint="eastAsia" w:cs="Times New Roman" w:hAnsiTheme="minorEastAsia"/>
                <w:b/>
                <w:bCs/>
                <w:color w:val="0D0D0D" w:themeColor="text1" w:themeTint="F2"/>
                <w:sz w:val="24"/>
                <w14:textFill>
                  <w14:solidFill>
                    <w14:schemeClr w14:val="tx1">
                      <w14:lumMod w14:val="95000"/>
                      <w14:lumOff w14:val="5000"/>
                    </w14:schemeClr>
                  </w14:solidFill>
                </w14:textFill>
              </w:rPr>
              <w:t>污染物排放监测结果</w:t>
            </w:r>
          </w:p>
          <w:p>
            <w:pPr>
              <w:pStyle w:val="27"/>
              <w:spacing w:line="360" w:lineRule="auto"/>
              <w:jc w:val="both"/>
              <w:rPr>
                <w:rFonts w:eastAsia="宋体" w:cs="Times New Roman"/>
                <w:color w:val="0D0D0D" w:themeColor="text1" w:themeTint="F2"/>
                <w:sz w:val="24"/>
                <w14:textFill>
                  <w14:solidFill>
                    <w14:schemeClr w14:val="tx1">
                      <w14:lumMod w14:val="95000"/>
                      <w14:lumOff w14:val="5000"/>
                    </w14:schemeClr>
                  </w14:solidFill>
                </w14:textFill>
              </w:rPr>
            </w:pPr>
            <w:bookmarkStart w:id="53" w:name="_Toc500754030"/>
            <w:bookmarkStart w:id="54" w:name="_Toc500598051"/>
            <w:bookmarkStart w:id="55" w:name="_GoBack"/>
            <w:r>
              <w:rPr>
                <w:rFonts w:eastAsia="宋体" w:cs="Times New Roman"/>
                <w:color w:val="0D0D0D" w:themeColor="text1" w:themeTint="F2"/>
                <w:sz w:val="24"/>
                <w14:textFill>
                  <w14:solidFill>
                    <w14:schemeClr w14:val="tx1">
                      <w14:lumMod w14:val="95000"/>
                      <w14:lumOff w14:val="5000"/>
                    </w14:schemeClr>
                  </w14:solidFill>
                </w14:textFill>
              </w:rPr>
              <w:t>（1）废气监测结果</w:t>
            </w:r>
          </w:p>
          <w:p>
            <w:pPr>
              <w:pStyle w:val="27"/>
              <w:spacing w:line="360" w:lineRule="auto"/>
              <w:jc w:val="both"/>
              <w:rPr>
                <w:rFonts w:hint="eastAsia" w:hAnsi="宋体"/>
                <w:sz w:val="24"/>
                <w:lang w:val="en-US" w:eastAsia="zh-CN"/>
              </w:rPr>
            </w:pPr>
            <w:r>
              <w:rPr>
                <w:rFonts w:hint="eastAsia" w:hAnsi="宋体"/>
                <w:sz w:val="24"/>
                <w:lang w:val="en-US" w:eastAsia="zh-CN"/>
              </w:rPr>
              <w:t>本项目VOCs、颗粒物排放满足上海市地方标准《大气污染物综合排放标准》（DB31/933-2015）中的标准要求，厂区内VOCs无组织排放满足《挥发性有机物无组织排放控制标准》（GB37822-2019）中的标准要求</w:t>
            </w:r>
          </w:p>
          <w:p>
            <w:pPr>
              <w:pStyle w:val="27"/>
              <w:spacing w:line="360" w:lineRule="auto"/>
              <w:jc w:val="both"/>
              <w:rPr>
                <w:rFonts w:eastAsia="宋体" w:cs="Times New Roman"/>
                <w:color w:val="0D0D0D" w:themeColor="text1" w:themeTint="F2"/>
                <w:sz w:val="24"/>
                <w14:textFill>
                  <w14:solidFill>
                    <w14:schemeClr w14:val="tx1">
                      <w14:lumMod w14:val="95000"/>
                      <w14:lumOff w14:val="5000"/>
                    </w14:schemeClr>
                  </w14:solidFill>
                </w14:textFill>
              </w:rPr>
            </w:pPr>
            <w:r>
              <w:rPr>
                <w:rFonts w:eastAsia="宋体" w:cs="Times New Roman"/>
                <w:color w:val="0D0D0D" w:themeColor="text1" w:themeTint="F2"/>
                <w:sz w:val="24"/>
                <w14:textFill>
                  <w14:solidFill>
                    <w14:schemeClr w14:val="tx1">
                      <w14:lumMod w14:val="95000"/>
                      <w14:lumOff w14:val="5000"/>
                    </w14:schemeClr>
                  </w14:solidFill>
                </w14:textFill>
              </w:rPr>
              <w:t>（2）噪声监测结果</w:t>
            </w:r>
          </w:p>
          <w:p>
            <w:pPr>
              <w:pStyle w:val="27"/>
              <w:spacing w:line="360" w:lineRule="auto"/>
              <w:jc w:val="both"/>
              <w:rPr>
                <w:rFonts w:hint="eastAsia" w:eastAsia="宋体" w:cs="Times New Roman"/>
                <w:color w:val="0D0D0D" w:themeColor="text1" w:themeTint="F2"/>
                <w:sz w:val="24"/>
                <w:lang w:eastAsia="zh-CN"/>
                <w14:textFill>
                  <w14:solidFill>
                    <w14:schemeClr w14:val="tx1">
                      <w14:lumMod w14:val="95000"/>
                      <w14:lumOff w14:val="5000"/>
                    </w14:schemeClr>
                  </w14:solidFill>
                </w14:textFill>
              </w:rPr>
            </w:pPr>
            <w:r>
              <w:rPr>
                <w:rFonts w:hAnsi="宋体"/>
                <w:sz w:val="24"/>
              </w:rPr>
              <w:t>本项目产生的</w:t>
            </w:r>
            <w:r>
              <w:rPr>
                <w:sz w:val="24"/>
              </w:rPr>
              <w:t>噪声主要来自于</w:t>
            </w:r>
            <w:r>
              <w:rPr>
                <w:rFonts w:hint="eastAsia"/>
                <w:sz w:val="24"/>
                <w:lang w:eastAsia="zh-CN"/>
              </w:rPr>
              <w:t>各类</w:t>
            </w:r>
            <w:r>
              <w:rPr>
                <w:sz w:val="24"/>
              </w:rPr>
              <w:t>设备噪声</w:t>
            </w:r>
            <w:r>
              <w:rPr>
                <w:rFonts w:hAnsi="宋体"/>
                <w:bCs/>
                <w:color w:val="000000"/>
                <w:sz w:val="24"/>
              </w:rPr>
              <w:t>，</w:t>
            </w:r>
            <w:r>
              <w:rPr>
                <w:rFonts w:hint="eastAsia" w:hAnsi="宋体"/>
                <w:bCs/>
                <w:color w:val="000000"/>
                <w:sz w:val="24"/>
              </w:rPr>
              <w:t>已采取</w:t>
            </w:r>
            <w:r>
              <w:rPr>
                <w:rFonts w:hAnsi="宋体"/>
                <w:bCs/>
                <w:color w:val="000000"/>
                <w:sz w:val="24"/>
              </w:rPr>
              <w:t>基础减震、设备隔声、厂房隔声以及选用低噪声设备</w:t>
            </w:r>
            <w:r>
              <w:rPr>
                <w:rFonts w:hint="eastAsia" w:hAnsi="宋体"/>
                <w:bCs/>
                <w:color w:val="000000"/>
                <w:sz w:val="24"/>
              </w:rPr>
              <w:t>等措施</w:t>
            </w:r>
            <w:r>
              <w:rPr>
                <w:rFonts w:hAnsi="宋体"/>
                <w:bCs/>
                <w:color w:val="000000"/>
                <w:sz w:val="24"/>
              </w:rPr>
              <w:t>。</w:t>
            </w:r>
            <w:bookmarkEnd w:id="53"/>
            <w:bookmarkEnd w:id="54"/>
            <w:r>
              <w:rPr>
                <w:rFonts w:hint="eastAsia" w:hAnsi="宋体"/>
                <w:bCs/>
                <w:color w:val="000000"/>
                <w:sz w:val="24"/>
              </w:rPr>
              <w:t>项目</w:t>
            </w:r>
            <w:r>
              <w:rPr>
                <w:rFonts w:hint="eastAsia" w:hAnsi="宋体"/>
                <w:bCs/>
                <w:color w:val="000000"/>
                <w:sz w:val="24"/>
                <w:lang w:eastAsia="zh-CN"/>
              </w:rPr>
              <w:t>区能够</w:t>
            </w:r>
            <w:r>
              <w:rPr>
                <w:rFonts w:hint="eastAsia" w:hAnsi="宋体"/>
                <w:bCs/>
                <w:color w:val="000000"/>
                <w:sz w:val="24"/>
              </w:rPr>
              <w:t>达</w:t>
            </w:r>
            <w:r>
              <w:rPr>
                <w:rFonts w:hint="eastAsia" w:hAnsi="宋体"/>
                <w:bCs/>
                <w:color w:val="000000"/>
                <w:sz w:val="24"/>
                <w:lang w:eastAsia="zh-CN"/>
              </w:rPr>
              <w:t>到</w:t>
            </w:r>
            <w:r>
              <w:rPr>
                <w:rFonts w:hint="eastAsia" w:hAnsi="宋体"/>
                <w:bCs/>
                <w:color w:val="000000"/>
                <w:sz w:val="24"/>
              </w:rPr>
              <w:t>《工业企业厂界环境噪声排放标准》（GB12348-2008）中</w:t>
            </w:r>
            <w:r>
              <w:rPr>
                <w:rFonts w:hint="eastAsia" w:hAnsi="宋体"/>
                <w:bCs/>
                <w:color w:val="000000"/>
                <w:sz w:val="24"/>
                <w:lang w:val="en-US" w:eastAsia="zh-CN"/>
              </w:rPr>
              <w:t>3</w:t>
            </w:r>
            <w:r>
              <w:rPr>
                <w:rFonts w:hint="eastAsia" w:hAnsi="宋体"/>
                <w:bCs/>
                <w:color w:val="000000"/>
                <w:sz w:val="24"/>
              </w:rPr>
              <w:t>类标准</w:t>
            </w:r>
            <w:r>
              <w:rPr>
                <w:rFonts w:hint="eastAsia" w:hAnsi="宋体"/>
                <w:bCs/>
                <w:color w:val="000000"/>
                <w:sz w:val="24"/>
                <w:lang w:eastAsia="zh-CN"/>
              </w:rPr>
              <w:t>要求。</w:t>
            </w:r>
          </w:p>
          <w:p>
            <w:pPr>
              <w:numPr>
                <w:ilvl w:val="0"/>
                <w:numId w:val="0"/>
              </w:numPr>
              <w:spacing w:line="360" w:lineRule="auto"/>
              <w:ind w:firstLine="480" w:firstLineChars="200"/>
              <w:rPr>
                <w:rFonts w:eastAsia="宋体" w:cs="Times New Roman"/>
                <w:color w:val="0D0D0D" w:themeColor="text1" w:themeTint="F2"/>
                <w:sz w:val="24"/>
                <w14:textFill>
                  <w14:solidFill>
                    <w14:schemeClr w14:val="tx1">
                      <w14:lumMod w14:val="95000"/>
                      <w14:lumOff w14:val="5000"/>
                    </w14:schemeClr>
                  </w14:solidFill>
                </w14:textFill>
              </w:rPr>
            </w:pP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lang w:val="en-US" w:eastAsia="zh-CN"/>
                <w14:textFill>
                  <w14:solidFill>
                    <w14:schemeClr w14:val="tx1">
                      <w14:lumMod w14:val="95000"/>
                      <w14:lumOff w14:val="5000"/>
                    </w14:schemeClr>
                  </w14:solidFill>
                </w14:textFill>
              </w:rPr>
              <w:t>3</w:t>
            </w: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14:textFill>
                  <w14:solidFill>
                    <w14:schemeClr w14:val="tx1">
                      <w14:lumMod w14:val="95000"/>
                      <w14:lumOff w14:val="5000"/>
                    </w14:schemeClr>
                  </w14:solidFill>
                </w14:textFill>
              </w:rPr>
              <w:t>固废监测结果</w:t>
            </w:r>
          </w:p>
          <w:p>
            <w:pPr>
              <w:pStyle w:val="27"/>
              <w:spacing w:line="360" w:lineRule="auto"/>
              <w:ind w:firstLine="480" w:firstLineChars="200"/>
              <w:outlineLvl w:val="1"/>
              <w:rPr>
                <w:rFonts w:hint="eastAsia"/>
                <w:sz w:val="24"/>
                <w:lang w:val="zh-CN"/>
              </w:rPr>
            </w:pPr>
            <w:r>
              <w:rPr>
                <w:rFonts w:hint="eastAsia"/>
                <w:sz w:val="24"/>
                <w:lang w:val="zh-CN"/>
              </w:rPr>
              <w:t>项目产生的一般工业固废主要为边角料、废包装材料</w:t>
            </w:r>
            <w:r>
              <w:rPr>
                <w:rFonts w:hint="eastAsia"/>
                <w:sz w:val="24"/>
              </w:rPr>
              <w:t>等</w:t>
            </w:r>
            <w:r>
              <w:rPr>
                <w:rFonts w:hint="eastAsia"/>
                <w:sz w:val="24"/>
                <w:lang w:eastAsia="zh-CN"/>
              </w:rPr>
              <w:t>，</w:t>
            </w:r>
            <w:r>
              <w:rPr>
                <w:rFonts w:hint="eastAsia"/>
                <w:sz w:val="24"/>
              </w:rPr>
              <w:t>收集于一般工业固废暂存场所后定期资源外售。</w:t>
            </w:r>
            <w:r>
              <w:rPr>
                <w:sz w:val="24"/>
              </w:rPr>
              <w:t>项目生产过程中危险废物主要包括废</w:t>
            </w:r>
            <w:r>
              <w:rPr>
                <w:rFonts w:hint="eastAsia"/>
                <w:sz w:val="24"/>
              </w:rPr>
              <w:t>漆桶、废漆渣、废过滤棉、废活性炭、</w:t>
            </w:r>
            <w:r>
              <w:rPr>
                <w:rFonts w:hint="eastAsia"/>
                <w:sz w:val="24"/>
                <w:lang w:eastAsia="zh-CN"/>
              </w:rPr>
              <w:t>水帘废液、</w:t>
            </w:r>
            <w:r>
              <w:rPr>
                <w:rFonts w:hint="eastAsia"/>
                <w:sz w:val="24"/>
              </w:rPr>
              <w:t>漆磨粉尘</w:t>
            </w:r>
            <w:r>
              <w:rPr>
                <w:sz w:val="24"/>
              </w:rPr>
              <w:t>。</w:t>
            </w:r>
            <w:r>
              <w:rPr>
                <w:rFonts w:hint="eastAsia"/>
                <w:sz w:val="24"/>
              </w:rPr>
              <w:t>收集于危险废物暂存场所后定期</w:t>
            </w:r>
            <w:r>
              <w:rPr>
                <w:sz w:val="24"/>
                <w:lang w:val="zh-CN"/>
              </w:rPr>
              <w:t>定期送往有资质单位处理或处置。</w:t>
            </w:r>
            <w:r>
              <w:rPr>
                <w:rFonts w:hint="eastAsia"/>
                <w:sz w:val="24"/>
                <w:lang w:val="zh-CN"/>
              </w:rPr>
              <w:t>生活垃圾集中收集后交由当地环卫部门</w:t>
            </w:r>
            <w:r>
              <w:rPr>
                <w:rFonts w:hint="eastAsia"/>
                <w:sz w:val="24"/>
              </w:rPr>
              <w:t>统一清运</w:t>
            </w:r>
            <w:r>
              <w:rPr>
                <w:rFonts w:hint="eastAsia"/>
                <w:sz w:val="24"/>
                <w:lang w:val="zh-CN"/>
              </w:rPr>
              <w:t>。</w:t>
            </w:r>
          </w:p>
          <w:bookmarkEnd w:id="55"/>
          <w:p>
            <w:pPr>
              <w:pStyle w:val="27"/>
              <w:spacing w:line="360" w:lineRule="auto"/>
              <w:ind w:firstLine="0"/>
              <w:outlineLvl w:val="1"/>
              <w:rPr>
                <w:b/>
                <w:bCs/>
                <w:sz w:val="24"/>
              </w:rPr>
            </w:pPr>
            <w:r>
              <w:rPr>
                <w:rFonts w:hint="eastAsia" w:hAnsi="宋体"/>
                <w:b/>
                <w:bCs/>
                <w:sz w:val="24"/>
              </w:rPr>
              <w:t>二、结论</w:t>
            </w:r>
          </w:p>
          <w:p>
            <w:pPr>
              <w:pStyle w:val="27"/>
              <w:spacing w:line="360" w:lineRule="auto"/>
              <w:rPr>
                <w:rFonts w:hAnsi="宋体"/>
                <w:bCs/>
                <w:sz w:val="24"/>
              </w:rPr>
            </w:pPr>
            <w:r>
              <w:rPr>
                <w:rFonts w:hint="eastAsia" w:hAnsi="宋体"/>
                <w:bCs/>
                <w:sz w:val="24"/>
              </w:rPr>
              <w:t>项目已根据环评及批复要求落实污染防治措施，验收监测期间，项目工况稳定，</w:t>
            </w:r>
            <w:r>
              <w:rPr>
                <w:bCs/>
                <w:sz w:val="24"/>
              </w:rPr>
              <w:t>各类环保设施运行正常，</w:t>
            </w:r>
            <w:r>
              <w:rPr>
                <w:rFonts w:hint="eastAsia"/>
                <w:bCs/>
                <w:sz w:val="24"/>
              </w:rPr>
              <w:t>根据监测结果，</w:t>
            </w:r>
            <w:r>
              <w:rPr>
                <w:rFonts w:hAnsi="宋体"/>
                <w:bCs/>
                <w:sz w:val="24"/>
              </w:rPr>
              <w:t>各</w:t>
            </w:r>
            <w:r>
              <w:rPr>
                <w:rFonts w:hint="eastAsia" w:hAnsi="宋体"/>
                <w:bCs/>
                <w:sz w:val="24"/>
              </w:rPr>
              <w:t>项</w:t>
            </w:r>
            <w:r>
              <w:rPr>
                <w:rFonts w:hAnsi="宋体"/>
                <w:bCs/>
                <w:sz w:val="24"/>
              </w:rPr>
              <w:t>污染防治措施均达到验收要求</w:t>
            </w:r>
            <w:r>
              <w:rPr>
                <w:rFonts w:hint="eastAsia" w:hAnsi="宋体"/>
                <w:bCs/>
                <w:sz w:val="24"/>
              </w:rPr>
              <w:t>，对周边环境影响可以接受，故</w:t>
            </w:r>
            <w:r>
              <w:rPr>
                <w:rFonts w:hAnsi="宋体"/>
                <w:bCs/>
                <w:sz w:val="24"/>
              </w:rPr>
              <w:t>可对其提出</w:t>
            </w:r>
            <w:r>
              <w:rPr>
                <w:rFonts w:hint="eastAsia" w:hAnsi="宋体"/>
                <w:bCs/>
                <w:sz w:val="24"/>
              </w:rPr>
              <w:t>项目阶段性</w:t>
            </w:r>
            <w:r>
              <w:rPr>
                <w:rFonts w:hAnsi="宋体"/>
                <w:bCs/>
                <w:sz w:val="24"/>
              </w:rPr>
              <w:t>竣工</w:t>
            </w:r>
            <w:r>
              <w:rPr>
                <w:rFonts w:hint="eastAsia" w:hAnsi="宋体"/>
                <w:bCs/>
                <w:sz w:val="24"/>
              </w:rPr>
              <w:t>环境</w:t>
            </w:r>
            <w:r>
              <w:rPr>
                <w:rFonts w:hAnsi="宋体"/>
                <w:bCs/>
                <w:sz w:val="24"/>
              </w:rPr>
              <w:t>验收合格的</w:t>
            </w:r>
            <w:r>
              <w:rPr>
                <w:rFonts w:hint="eastAsia" w:hAnsi="宋体"/>
                <w:bCs/>
                <w:sz w:val="24"/>
              </w:rPr>
              <w:t>意见。</w:t>
            </w:r>
          </w:p>
          <w:p>
            <w:pPr>
              <w:spacing w:line="360" w:lineRule="auto"/>
              <w:rPr>
                <w:rFonts w:eastAsia="宋体" w:cs="Times New Roman"/>
              </w:rPr>
            </w:pPr>
          </w:p>
        </w:tc>
      </w:tr>
    </w:tbl>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auto"/>
    <w:pitch w:val="default"/>
    <w:sig w:usb0="A00002FF" w:usb1="28CFFCFA"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25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0EB7F4"/>
    <w:multiLevelType w:val="singleLevel"/>
    <w:tmpl w:val="B10EB7F4"/>
    <w:lvl w:ilvl="0" w:tentative="0">
      <w:start w:val="4"/>
      <w:numFmt w:val="decimal"/>
      <w:suff w:val="nothing"/>
      <w:lvlText w:val="%1、"/>
      <w:lvlJc w:val="left"/>
    </w:lvl>
  </w:abstractNum>
  <w:abstractNum w:abstractNumId="1">
    <w:nsid w:val="D66D5857"/>
    <w:multiLevelType w:val="singleLevel"/>
    <w:tmpl w:val="D66D5857"/>
    <w:lvl w:ilvl="0" w:tentative="0">
      <w:start w:val="2"/>
      <w:numFmt w:val="decimal"/>
      <w:suff w:val="nothing"/>
      <w:lvlText w:val="（%1）"/>
      <w:lvlJc w:val="left"/>
    </w:lvl>
  </w:abstractNum>
  <w:abstractNum w:abstractNumId="2">
    <w:nsid w:val="EDFF27E7"/>
    <w:multiLevelType w:val="singleLevel"/>
    <w:tmpl w:val="EDFF27E7"/>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0N2NhZWVmOGY0MzA4Yjg0OWE5NzU1ZDFhODc0N2MifQ=="/>
  </w:docVars>
  <w:rsids>
    <w:rsidRoot w:val="64CC6C38"/>
    <w:rsid w:val="00064FA8"/>
    <w:rsid w:val="000A1A1F"/>
    <w:rsid w:val="000D3B17"/>
    <w:rsid w:val="002A30BB"/>
    <w:rsid w:val="002A49BC"/>
    <w:rsid w:val="00495055"/>
    <w:rsid w:val="004B7181"/>
    <w:rsid w:val="006F4F69"/>
    <w:rsid w:val="007849C8"/>
    <w:rsid w:val="007C7279"/>
    <w:rsid w:val="007F392C"/>
    <w:rsid w:val="00847E41"/>
    <w:rsid w:val="00C33290"/>
    <w:rsid w:val="00D146DA"/>
    <w:rsid w:val="00E26EAE"/>
    <w:rsid w:val="0190118E"/>
    <w:rsid w:val="01966F11"/>
    <w:rsid w:val="01B1689B"/>
    <w:rsid w:val="01C0151B"/>
    <w:rsid w:val="01D13C53"/>
    <w:rsid w:val="02044653"/>
    <w:rsid w:val="02076262"/>
    <w:rsid w:val="021E0F0A"/>
    <w:rsid w:val="025A0CDA"/>
    <w:rsid w:val="02AE6D16"/>
    <w:rsid w:val="02C54B31"/>
    <w:rsid w:val="02EA3A04"/>
    <w:rsid w:val="033E3663"/>
    <w:rsid w:val="034F3EC0"/>
    <w:rsid w:val="03EC605B"/>
    <w:rsid w:val="04165BA2"/>
    <w:rsid w:val="04177FCD"/>
    <w:rsid w:val="043615A3"/>
    <w:rsid w:val="04A048E3"/>
    <w:rsid w:val="04A9013E"/>
    <w:rsid w:val="04F91753"/>
    <w:rsid w:val="060B2F94"/>
    <w:rsid w:val="067469EA"/>
    <w:rsid w:val="068E795F"/>
    <w:rsid w:val="06D56FE4"/>
    <w:rsid w:val="073362FF"/>
    <w:rsid w:val="073F7B8A"/>
    <w:rsid w:val="0766684C"/>
    <w:rsid w:val="07F43D1B"/>
    <w:rsid w:val="08171527"/>
    <w:rsid w:val="08366113"/>
    <w:rsid w:val="085F482B"/>
    <w:rsid w:val="08887E50"/>
    <w:rsid w:val="08C94F2B"/>
    <w:rsid w:val="08DD1AF6"/>
    <w:rsid w:val="091F70D9"/>
    <w:rsid w:val="09547509"/>
    <w:rsid w:val="0A0E549B"/>
    <w:rsid w:val="0A272FE7"/>
    <w:rsid w:val="0A432ABB"/>
    <w:rsid w:val="0A7F7F97"/>
    <w:rsid w:val="0A894080"/>
    <w:rsid w:val="0B202BA8"/>
    <w:rsid w:val="0B6459B4"/>
    <w:rsid w:val="0B943AE9"/>
    <w:rsid w:val="0C00791C"/>
    <w:rsid w:val="0C0D3BF9"/>
    <w:rsid w:val="0C1E5C60"/>
    <w:rsid w:val="0C442FE8"/>
    <w:rsid w:val="0CC13A7D"/>
    <w:rsid w:val="0CEA6C7A"/>
    <w:rsid w:val="0CFA68BB"/>
    <w:rsid w:val="0D5D2B15"/>
    <w:rsid w:val="0D60283D"/>
    <w:rsid w:val="0DA35EFF"/>
    <w:rsid w:val="0DD20138"/>
    <w:rsid w:val="0E0B3D9E"/>
    <w:rsid w:val="0E371069"/>
    <w:rsid w:val="0E573A0D"/>
    <w:rsid w:val="0E5A6F6C"/>
    <w:rsid w:val="0EA05F5D"/>
    <w:rsid w:val="0EAD7381"/>
    <w:rsid w:val="0ECB3177"/>
    <w:rsid w:val="0EF5261A"/>
    <w:rsid w:val="0F457653"/>
    <w:rsid w:val="0F59233E"/>
    <w:rsid w:val="0FB04743"/>
    <w:rsid w:val="0FC20AAF"/>
    <w:rsid w:val="10B043BB"/>
    <w:rsid w:val="11524DEB"/>
    <w:rsid w:val="117604F3"/>
    <w:rsid w:val="11B30BBE"/>
    <w:rsid w:val="11F33E8F"/>
    <w:rsid w:val="1264154E"/>
    <w:rsid w:val="127A5249"/>
    <w:rsid w:val="1293556F"/>
    <w:rsid w:val="136D7458"/>
    <w:rsid w:val="13BF4F70"/>
    <w:rsid w:val="13C85418"/>
    <w:rsid w:val="14313315"/>
    <w:rsid w:val="14A35169"/>
    <w:rsid w:val="14DF42B4"/>
    <w:rsid w:val="15085695"/>
    <w:rsid w:val="15AB7FDE"/>
    <w:rsid w:val="15D02CDE"/>
    <w:rsid w:val="16045216"/>
    <w:rsid w:val="164736BF"/>
    <w:rsid w:val="16655F19"/>
    <w:rsid w:val="16C31A29"/>
    <w:rsid w:val="178828EB"/>
    <w:rsid w:val="17CD6921"/>
    <w:rsid w:val="17DB355D"/>
    <w:rsid w:val="180B2088"/>
    <w:rsid w:val="181A6A3A"/>
    <w:rsid w:val="18532B00"/>
    <w:rsid w:val="185342BD"/>
    <w:rsid w:val="18AC21FD"/>
    <w:rsid w:val="18C678A9"/>
    <w:rsid w:val="191D1108"/>
    <w:rsid w:val="193A7AC4"/>
    <w:rsid w:val="198B0D0F"/>
    <w:rsid w:val="19A35558"/>
    <w:rsid w:val="19CA1927"/>
    <w:rsid w:val="1B391F6E"/>
    <w:rsid w:val="1BA90A6F"/>
    <w:rsid w:val="1BF32FB2"/>
    <w:rsid w:val="1C232461"/>
    <w:rsid w:val="1CAA2EEC"/>
    <w:rsid w:val="1D4C4C79"/>
    <w:rsid w:val="1DA35D15"/>
    <w:rsid w:val="1DF66ECC"/>
    <w:rsid w:val="1FB630C3"/>
    <w:rsid w:val="1FC267A8"/>
    <w:rsid w:val="1FEA5F7F"/>
    <w:rsid w:val="21074E65"/>
    <w:rsid w:val="21627873"/>
    <w:rsid w:val="220864F1"/>
    <w:rsid w:val="221200F3"/>
    <w:rsid w:val="228645D9"/>
    <w:rsid w:val="22E96910"/>
    <w:rsid w:val="23186177"/>
    <w:rsid w:val="234774FF"/>
    <w:rsid w:val="235D7BFE"/>
    <w:rsid w:val="23E46AB9"/>
    <w:rsid w:val="243D1432"/>
    <w:rsid w:val="247026F4"/>
    <w:rsid w:val="24CA7C09"/>
    <w:rsid w:val="25B33E61"/>
    <w:rsid w:val="25CD0278"/>
    <w:rsid w:val="25D2670A"/>
    <w:rsid w:val="265D27FC"/>
    <w:rsid w:val="26E665E6"/>
    <w:rsid w:val="275F300D"/>
    <w:rsid w:val="277C56BE"/>
    <w:rsid w:val="27B41BFF"/>
    <w:rsid w:val="27C55426"/>
    <w:rsid w:val="286E06FC"/>
    <w:rsid w:val="287615B1"/>
    <w:rsid w:val="28986BF1"/>
    <w:rsid w:val="28A96DE5"/>
    <w:rsid w:val="299A580D"/>
    <w:rsid w:val="29AD54AB"/>
    <w:rsid w:val="29C64297"/>
    <w:rsid w:val="29CC7948"/>
    <w:rsid w:val="29ED749E"/>
    <w:rsid w:val="2A2953D2"/>
    <w:rsid w:val="2AA759F7"/>
    <w:rsid w:val="2B1622A7"/>
    <w:rsid w:val="2B4A561E"/>
    <w:rsid w:val="2BA32CFB"/>
    <w:rsid w:val="2BC14BA6"/>
    <w:rsid w:val="2C0F03D0"/>
    <w:rsid w:val="2C721E1B"/>
    <w:rsid w:val="2CF96EAE"/>
    <w:rsid w:val="2D07093B"/>
    <w:rsid w:val="2D167FE6"/>
    <w:rsid w:val="2D6547E1"/>
    <w:rsid w:val="2D796BC4"/>
    <w:rsid w:val="2D844276"/>
    <w:rsid w:val="2D940EA8"/>
    <w:rsid w:val="2DE861AA"/>
    <w:rsid w:val="2E0E0F03"/>
    <w:rsid w:val="2EE968EE"/>
    <w:rsid w:val="2EF118FC"/>
    <w:rsid w:val="2EFC1293"/>
    <w:rsid w:val="2FC77DEC"/>
    <w:rsid w:val="2FDC633D"/>
    <w:rsid w:val="2FE779F2"/>
    <w:rsid w:val="30266459"/>
    <w:rsid w:val="304F7A41"/>
    <w:rsid w:val="307B58DB"/>
    <w:rsid w:val="31505A04"/>
    <w:rsid w:val="31952DBE"/>
    <w:rsid w:val="31E93461"/>
    <w:rsid w:val="31F93BF5"/>
    <w:rsid w:val="321B4EB2"/>
    <w:rsid w:val="32562DFD"/>
    <w:rsid w:val="326A1DEC"/>
    <w:rsid w:val="32775B8E"/>
    <w:rsid w:val="32C17380"/>
    <w:rsid w:val="33206BCF"/>
    <w:rsid w:val="332D1A72"/>
    <w:rsid w:val="338B551E"/>
    <w:rsid w:val="33B21D11"/>
    <w:rsid w:val="34832F99"/>
    <w:rsid w:val="349E3364"/>
    <w:rsid w:val="34C82D26"/>
    <w:rsid w:val="34DA42C5"/>
    <w:rsid w:val="354C54FD"/>
    <w:rsid w:val="35807E52"/>
    <w:rsid w:val="35E61050"/>
    <w:rsid w:val="360452EE"/>
    <w:rsid w:val="36416816"/>
    <w:rsid w:val="36441815"/>
    <w:rsid w:val="366F6F2D"/>
    <w:rsid w:val="367928B8"/>
    <w:rsid w:val="36BD76CE"/>
    <w:rsid w:val="36EA5ECB"/>
    <w:rsid w:val="36F87BA0"/>
    <w:rsid w:val="374B2CF8"/>
    <w:rsid w:val="376C24AB"/>
    <w:rsid w:val="378D3400"/>
    <w:rsid w:val="378E6B09"/>
    <w:rsid w:val="37972B9B"/>
    <w:rsid w:val="379B3DBE"/>
    <w:rsid w:val="37A13EFE"/>
    <w:rsid w:val="37B267FA"/>
    <w:rsid w:val="37E62B54"/>
    <w:rsid w:val="381C76DD"/>
    <w:rsid w:val="384879BB"/>
    <w:rsid w:val="389D3187"/>
    <w:rsid w:val="39441B31"/>
    <w:rsid w:val="3A1132FD"/>
    <w:rsid w:val="3A274477"/>
    <w:rsid w:val="3A3F2541"/>
    <w:rsid w:val="3A5A5148"/>
    <w:rsid w:val="3B0C2F23"/>
    <w:rsid w:val="3BC940B5"/>
    <w:rsid w:val="3BF03FA1"/>
    <w:rsid w:val="3BF646A7"/>
    <w:rsid w:val="3C3107DE"/>
    <w:rsid w:val="3C377540"/>
    <w:rsid w:val="3C9C73FE"/>
    <w:rsid w:val="3CA74E33"/>
    <w:rsid w:val="3CB93685"/>
    <w:rsid w:val="3DD35D9A"/>
    <w:rsid w:val="3E1C2E2C"/>
    <w:rsid w:val="3E7C18CA"/>
    <w:rsid w:val="3EA6474A"/>
    <w:rsid w:val="3EAD3FF2"/>
    <w:rsid w:val="3F1F0AD0"/>
    <w:rsid w:val="3F2E7738"/>
    <w:rsid w:val="3F386947"/>
    <w:rsid w:val="3FA26D31"/>
    <w:rsid w:val="3FE20CE2"/>
    <w:rsid w:val="40524E2E"/>
    <w:rsid w:val="40B41865"/>
    <w:rsid w:val="41770B29"/>
    <w:rsid w:val="41F13282"/>
    <w:rsid w:val="424263C5"/>
    <w:rsid w:val="427322C7"/>
    <w:rsid w:val="431008FE"/>
    <w:rsid w:val="435A715D"/>
    <w:rsid w:val="439A1D8B"/>
    <w:rsid w:val="43A95524"/>
    <w:rsid w:val="43B47E5D"/>
    <w:rsid w:val="43EA08E9"/>
    <w:rsid w:val="43F173CD"/>
    <w:rsid w:val="442F5470"/>
    <w:rsid w:val="444B415C"/>
    <w:rsid w:val="44A73B76"/>
    <w:rsid w:val="455525AF"/>
    <w:rsid w:val="46B0761A"/>
    <w:rsid w:val="46E3451F"/>
    <w:rsid w:val="473B1875"/>
    <w:rsid w:val="484F3FA2"/>
    <w:rsid w:val="4853074C"/>
    <w:rsid w:val="487C5CE0"/>
    <w:rsid w:val="48AC37E0"/>
    <w:rsid w:val="49077AC4"/>
    <w:rsid w:val="492104D0"/>
    <w:rsid w:val="494B3271"/>
    <w:rsid w:val="49594610"/>
    <w:rsid w:val="497D0CA1"/>
    <w:rsid w:val="49C57D80"/>
    <w:rsid w:val="49F5418F"/>
    <w:rsid w:val="4A1D6937"/>
    <w:rsid w:val="4A4A0124"/>
    <w:rsid w:val="4A4A3821"/>
    <w:rsid w:val="4AD8372A"/>
    <w:rsid w:val="4AEC1C85"/>
    <w:rsid w:val="4AF6539D"/>
    <w:rsid w:val="4B0205D5"/>
    <w:rsid w:val="4B0F43C5"/>
    <w:rsid w:val="4C2741A4"/>
    <w:rsid w:val="4CBA4881"/>
    <w:rsid w:val="4CC91343"/>
    <w:rsid w:val="4D52017C"/>
    <w:rsid w:val="4D5F6608"/>
    <w:rsid w:val="4DC87BEE"/>
    <w:rsid w:val="4DF27344"/>
    <w:rsid w:val="4E6C1817"/>
    <w:rsid w:val="4F300141"/>
    <w:rsid w:val="4F60706A"/>
    <w:rsid w:val="4F64387A"/>
    <w:rsid w:val="4FB14493"/>
    <w:rsid w:val="50A2238C"/>
    <w:rsid w:val="50CC3D29"/>
    <w:rsid w:val="50DE7239"/>
    <w:rsid w:val="51065740"/>
    <w:rsid w:val="515B27D5"/>
    <w:rsid w:val="51663112"/>
    <w:rsid w:val="516F12BD"/>
    <w:rsid w:val="52D2096E"/>
    <w:rsid w:val="52F4317F"/>
    <w:rsid w:val="530917F3"/>
    <w:rsid w:val="532F5062"/>
    <w:rsid w:val="538B2AE1"/>
    <w:rsid w:val="54970D71"/>
    <w:rsid w:val="54A90D43"/>
    <w:rsid w:val="54E621FC"/>
    <w:rsid w:val="5507056C"/>
    <w:rsid w:val="556E5D65"/>
    <w:rsid w:val="557E378D"/>
    <w:rsid w:val="55BD0E29"/>
    <w:rsid w:val="55C36AC2"/>
    <w:rsid w:val="560811A4"/>
    <w:rsid w:val="562D639C"/>
    <w:rsid w:val="56D513D6"/>
    <w:rsid w:val="56D63872"/>
    <w:rsid w:val="573E4A79"/>
    <w:rsid w:val="5745451C"/>
    <w:rsid w:val="57D43E58"/>
    <w:rsid w:val="57D73AEB"/>
    <w:rsid w:val="58250B3E"/>
    <w:rsid w:val="58664F97"/>
    <w:rsid w:val="58D171B8"/>
    <w:rsid w:val="596268B2"/>
    <w:rsid w:val="59985130"/>
    <w:rsid w:val="59D708D6"/>
    <w:rsid w:val="59E70447"/>
    <w:rsid w:val="59F42A57"/>
    <w:rsid w:val="5A695909"/>
    <w:rsid w:val="5A8F35C8"/>
    <w:rsid w:val="5ACE4DA2"/>
    <w:rsid w:val="5AD84332"/>
    <w:rsid w:val="5B011F82"/>
    <w:rsid w:val="5B0F0AD8"/>
    <w:rsid w:val="5B4B6E4B"/>
    <w:rsid w:val="5B6B4403"/>
    <w:rsid w:val="5B6D7717"/>
    <w:rsid w:val="5B96755B"/>
    <w:rsid w:val="5BEA389A"/>
    <w:rsid w:val="5C392D73"/>
    <w:rsid w:val="5C770D6E"/>
    <w:rsid w:val="5CEB062B"/>
    <w:rsid w:val="5D0D7922"/>
    <w:rsid w:val="5D16452A"/>
    <w:rsid w:val="5D2856AA"/>
    <w:rsid w:val="5D3D7371"/>
    <w:rsid w:val="5D9938CF"/>
    <w:rsid w:val="5DEC678F"/>
    <w:rsid w:val="5DF466B7"/>
    <w:rsid w:val="5EE31C55"/>
    <w:rsid w:val="5EF3022A"/>
    <w:rsid w:val="5EFF1406"/>
    <w:rsid w:val="5F0B09BA"/>
    <w:rsid w:val="5F7D38E5"/>
    <w:rsid w:val="5F7F1523"/>
    <w:rsid w:val="5FE76ECA"/>
    <w:rsid w:val="60314CC1"/>
    <w:rsid w:val="60DC6B6E"/>
    <w:rsid w:val="61202AB1"/>
    <w:rsid w:val="622A069B"/>
    <w:rsid w:val="62346C51"/>
    <w:rsid w:val="626D3B9F"/>
    <w:rsid w:val="62B17576"/>
    <w:rsid w:val="62BD5739"/>
    <w:rsid w:val="6356279D"/>
    <w:rsid w:val="638D6B5E"/>
    <w:rsid w:val="63BC52D7"/>
    <w:rsid w:val="64686CDE"/>
    <w:rsid w:val="64B57BA8"/>
    <w:rsid w:val="64C4664E"/>
    <w:rsid w:val="64CC6C38"/>
    <w:rsid w:val="65397F9E"/>
    <w:rsid w:val="65621162"/>
    <w:rsid w:val="65836037"/>
    <w:rsid w:val="66654A01"/>
    <w:rsid w:val="66836893"/>
    <w:rsid w:val="66DA6FA9"/>
    <w:rsid w:val="66F14E2D"/>
    <w:rsid w:val="66F95B50"/>
    <w:rsid w:val="678766C0"/>
    <w:rsid w:val="67FD6202"/>
    <w:rsid w:val="680458E2"/>
    <w:rsid w:val="681264AC"/>
    <w:rsid w:val="687D6A20"/>
    <w:rsid w:val="6887009A"/>
    <w:rsid w:val="69842B01"/>
    <w:rsid w:val="69D9417F"/>
    <w:rsid w:val="6A0F3E3A"/>
    <w:rsid w:val="6A1C24EE"/>
    <w:rsid w:val="6A2536C5"/>
    <w:rsid w:val="6A6D5027"/>
    <w:rsid w:val="6B3966C7"/>
    <w:rsid w:val="6B5E3A98"/>
    <w:rsid w:val="6B7F42C2"/>
    <w:rsid w:val="6BED4459"/>
    <w:rsid w:val="6C2975BA"/>
    <w:rsid w:val="6C2E16BC"/>
    <w:rsid w:val="6C562460"/>
    <w:rsid w:val="6C641D57"/>
    <w:rsid w:val="6C6E3873"/>
    <w:rsid w:val="6C7432E8"/>
    <w:rsid w:val="6C7B6D08"/>
    <w:rsid w:val="6CB97168"/>
    <w:rsid w:val="6CBD60EC"/>
    <w:rsid w:val="6CF0426F"/>
    <w:rsid w:val="6D2D3798"/>
    <w:rsid w:val="6D5A5DED"/>
    <w:rsid w:val="6DAD5E60"/>
    <w:rsid w:val="6DB51F02"/>
    <w:rsid w:val="6DE51FC5"/>
    <w:rsid w:val="6DEA07E1"/>
    <w:rsid w:val="6E014EF2"/>
    <w:rsid w:val="6E05302D"/>
    <w:rsid w:val="6E8A6C0E"/>
    <w:rsid w:val="6F367D85"/>
    <w:rsid w:val="6F510B9F"/>
    <w:rsid w:val="6F730146"/>
    <w:rsid w:val="6F8C3A90"/>
    <w:rsid w:val="6F953A54"/>
    <w:rsid w:val="6FB8522E"/>
    <w:rsid w:val="6FD154B8"/>
    <w:rsid w:val="706B645C"/>
    <w:rsid w:val="708C46A0"/>
    <w:rsid w:val="712E2D97"/>
    <w:rsid w:val="71566079"/>
    <w:rsid w:val="71D51EE6"/>
    <w:rsid w:val="721122B5"/>
    <w:rsid w:val="72DC10CC"/>
    <w:rsid w:val="734E4856"/>
    <w:rsid w:val="7358250F"/>
    <w:rsid w:val="7383116B"/>
    <w:rsid w:val="73DB3B94"/>
    <w:rsid w:val="74E552D2"/>
    <w:rsid w:val="752501E6"/>
    <w:rsid w:val="76447A3A"/>
    <w:rsid w:val="76614723"/>
    <w:rsid w:val="76884758"/>
    <w:rsid w:val="76BB27C5"/>
    <w:rsid w:val="76C60CB0"/>
    <w:rsid w:val="76CC71D3"/>
    <w:rsid w:val="76D8672C"/>
    <w:rsid w:val="76E973BD"/>
    <w:rsid w:val="76F00AAF"/>
    <w:rsid w:val="770D22AD"/>
    <w:rsid w:val="774F0805"/>
    <w:rsid w:val="77843CDD"/>
    <w:rsid w:val="77AE628E"/>
    <w:rsid w:val="78394171"/>
    <w:rsid w:val="785B3756"/>
    <w:rsid w:val="789A15D4"/>
    <w:rsid w:val="79276359"/>
    <w:rsid w:val="793B15FA"/>
    <w:rsid w:val="79A46626"/>
    <w:rsid w:val="79BA0BE7"/>
    <w:rsid w:val="79C42722"/>
    <w:rsid w:val="7A950625"/>
    <w:rsid w:val="7ABF69C8"/>
    <w:rsid w:val="7AF21BC8"/>
    <w:rsid w:val="7B003DE6"/>
    <w:rsid w:val="7B0F1874"/>
    <w:rsid w:val="7B645724"/>
    <w:rsid w:val="7B7816F3"/>
    <w:rsid w:val="7BC41D50"/>
    <w:rsid w:val="7C3C0966"/>
    <w:rsid w:val="7C9C0F2B"/>
    <w:rsid w:val="7CA05191"/>
    <w:rsid w:val="7D495E61"/>
    <w:rsid w:val="7DE21F99"/>
    <w:rsid w:val="7E1B2B99"/>
    <w:rsid w:val="7EED3E80"/>
    <w:rsid w:val="7F1E3BD0"/>
    <w:rsid w:val="7F863DAC"/>
    <w:rsid w:val="7FCE66E7"/>
    <w:rsid w:val="7FE72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6">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2"/>
    <w:basedOn w:val="1"/>
    <w:qFormat/>
    <w:uiPriority w:val="99"/>
    <w:pPr>
      <w:spacing w:line="360" w:lineRule="auto"/>
      <w:ind w:firstLine="0" w:firstLineChars="0"/>
      <w:jc w:val="left"/>
    </w:pPr>
    <w:rPr>
      <w:b/>
      <w:sz w:val="28"/>
    </w:rPr>
  </w:style>
  <w:style w:type="paragraph" w:customStyle="1" w:styleId="4">
    <w:name w:val="样式35"/>
    <w:basedOn w:val="5"/>
    <w:qFormat/>
    <w:uiPriority w:val="0"/>
    <w:pPr>
      <w:spacing w:before="0" w:after="0" w:line="360" w:lineRule="auto"/>
      <w:ind w:firstLine="482" w:firstLineChars="200"/>
    </w:pPr>
    <w:rPr>
      <w:rFonts w:ascii="Times New Roman" w:hAnsi="Times New Roman"/>
      <w:b w:val="0"/>
      <w:sz w:val="24"/>
    </w:rPr>
  </w:style>
  <w:style w:type="paragraph" w:styleId="7">
    <w:name w:val="Normal Indent"/>
    <w:basedOn w:val="1"/>
    <w:qFormat/>
    <w:uiPriority w:val="0"/>
    <w:pPr>
      <w:spacing w:line="360" w:lineRule="auto"/>
      <w:ind w:firstLine="420"/>
    </w:pPr>
    <w:rPr>
      <w:rFonts w:ascii="宋体" w:hAnsi="宋体"/>
      <w:kern w:val="0"/>
    </w:rPr>
  </w:style>
  <w:style w:type="paragraph" w:styleId="8">
    <w:name w:val="annotation text"/>
    <w:basedOn w:val="1"/>
    <w:link w:val="36"/>
    <w:qFormat/>
    <w:uiPriority w:val="0"/>
    <w:pPr>
      <w:jc w:val="left"/>
    </w:pPr>
  </w:style>
  <w:style w:type="paragraph" w:styleId="9">
    <w:name w:val="Body Text"/>
    <w:basedOn w:val="1"/>
    <w:next w:val="10"/>
    <w:unhideWhenUsed/>
    <w:qFormat/>
    <w:uiPriority w:val="99"/>
    <w:pPr>
      <w:spacing w:after="120"/>
    </w:pPr>
  </w:style>
  <w:style w:type="paragraph" w:customStyle="1" w:styleId="10">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styleId="11">
    <w:name w:val="Body Text Indent"/>
    <w:basedOn w:val="1"/>
    <w:next w:val="12"/>
    <w:qFormat/>
    <w:uiPriority w:val="0"/>
    <w:pPr>
      <w:spacing w:after="120"/>
      <w:ind w:left="420" w:leftChars="200"/>
    </w:pPr>
  </w:style>
  <w:style w:type="paragraph" w:styleId="12">
    <w:name w:val="Body Text Indent 2"/>
    <w:basedOn w:val="1"/>
    <w:next w:val="13"/>
    <w:qFormat/>
    <w:uiPriority w:val="0"/>
    <w:pPr>
      <w:spacing w:line="500" w:lineRule="exact"/>
      <w:ind w:firstLine="573"/>
    </w:pPr>
    <w:rPr>
      <w:sz w:val="28"/>
    </w:rPr>
  </w:style>
  <w:style w:type="paragraph" w:styleId="13">
    <w:name w:val="Body Text First Indent 2"/>
    <w:basedOn w:val="11"/>
    <w:next w:val="1"/>
    <w:qFormat/>
    <w:uiPriority w:val="99"/>
    <w:pPr>
      <w:ind w:firstLine="420"/>
    </w:pPr>
  </w:style>
  <w:style w:type="paragraph" w:styleId="14">
    <w:name w:val="Plain Text"/>
    <w:basedOn w:val="1"/>
    <w:qFormat/>
    <w:uiPriority w:val="99"/>
    <w:rPr>
      <w:rFonts w:ascii="宋体" w:hAnsi="Courier New"/>
    </w:rPr>
  </w:style>
  <w:style w:type="paragraph" w:styleId="15">
    <w:name w:val="Balloon Text"/>
    <w:basedOn w:val="1"/>
    <w:link w:val="35"/>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Body Text 2"/>
    <w:basedOn w:val="1"/>
    <w:qFormat/>
    <w:uiPriority w:val="0"/>
    <w:pPr>
      <w:spacing w:after="120" w:line="480" w:lineRule="auto"/>
    </w:pPr>
    <w:rPr>
      <w:kern w:val="0"/>
      <w:sz w:val="20"/>
    </w:rPr>
  </w:style>
  <w:style w:type="paragraph" w:styleId="19">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20">
    <w:name w:val="annotation subject"/>
    <w:basedOn w:val="8"/>
    <w:next w:val="8"/>
    <w:link w:val="37"/>
    <w:qFormat/>
    <w:uiPriority w:val="0"/>
    <w:rPr>
      <w:b/>
      <w:bCs/>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annotation reference"/>
    <w:basedOn w:val="23"/>
    <w:qFormat/>
    <w:uiPriority w:val="0"/>
    <w:rPr>
      <w:sz w:val="21"/>
      <w:szCs w:val="21"/>
    </w:rPr>
  </w:style>
  <w:style w:type="paragraph" w:customStyle="1" w:styleId="25">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26">
    <w:name w:val="报告表正文"/>
    <w:basedOn w:val="1"/>
    <w:qFormat/>
    <w:uiPriority w:val="99"/>
    <w:pPr>
      <w:spacing w:line="360" w:lineRule="auto"/>
      <w:ind w:firstLine="200"/>
    </w:pPr>
    <w:rPr>
      <w:szCs w:val="20"/>
      <w:lang w:val="zh-CN"/>
    </w:rPr>
  </w:style>
  <w:style w:type="paragraph" w:customStyle="1" w:styleId="27">
    <w:name w:val="样式3"/>
    <w:basedOn w:val="1"/>
    <w:qFormat/>
    <w:uiPriority w:val="0"/>
    <w:pPr>
      <w:widowControl/>
      <w:ind w:firstLine="480"/>
      <w:jc w:val="left"/>
    </w:pPr>
    <w:rPr>
      <w:kern w:val="0"/>
    </w:rPr>
  </w:style>
  <w:style w:type="paragraph" w:customStyle="1" w:styleId="28">
    <w:name w:val="二级标题-gh"/>
    <w:basedOn w:val="1"/>
    <w:qFormat/>
    <w:uiPriority w:val="0"/>
    <w:pPr>
      <w:snapToGrid w:val="0"/>
      <w:spacing w:line="360" w:lineRule="auto"/>
      <w:outlineLvl w:val="1"/>
    </w:pPr>
    <w:rPr>
      <w:b/>
      <w:color w:val="000000"/>
      <w:kern w:val="0"/>
      <w:sz w:val="24"/>
    </w:rPr>
  </w:style>
  <w:style w:type="paragraph" w:customStyle="1" w:styleId="29">
    <w:name w:val="表文"/>
    <w:basedOn w:val="9"/>
    <w:next w:val="7"/>
    <w:qFormat/>
    <w:uiPriority w:val="0"/>
    <w:pPr>
      <w:spacing w:line="360" w:lineRule="auto"/>
      <w:jc w:val="center"/>
    </w:pPr>
    <w:rPr>
      <w:rFonts w:eastAsia="仿宋_GB2312"/>
      <w:szCs w:val="20"/>
    </w:rPr>
  </w:style>
  <w:style w:type="paragraph" w:customStyle="1" w:styleId="30">
    <w:name w:val="报告表-表格内文字"/>
    <w:basedOn w:val="1"/>
    <w:qFormat/>
    <w:uiPriority w:val="99"/>
    <w:pPr>
      <w:jc w:val="center"/>
    </w:pPr>
    <w:rPr>
      <w:sz w:val="18"/>
      <w:szCs w:val="18"/>
    </w:rPr>
  </w:style>
  <w:style w:type="paragraph" w:customStyle="1" w:styleId="31">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32">
    <w:name w:val="样式38"/>
    <w:basedOn w:val="27"/>
    <w:qFormat/>
    <w:uiPriority w:val="0"/>
    <w:pPr>
      <w:spacing w:line="360" w:lineRule="auto"/>
      <w:jc w:val="center"/>
      <w:outlineLvl w:val="0"/>
    </w:pPr>
    <w:rPr>
      <w:color w:val="000000"/>
      <w:sz w:val="28"/>
      <w:szCs w:val="28"/>
    </w:rPr>
  </w:style>
  <w:style w:type="paragraph" w:customStyle="1" w:styleId="33">
    <w:name w:val="表格标题"/>
    <w:basedOn w:val="1"/>
    <w:next w:val="1"/>
    <w:qFormat/>
    <w:uiPriority w:val="0"/>
    <w:pPr>
      <w:jc w:val="center"/>
    </w:pPr>
    <w:rPr>
      <w:b/>
      <w:kern w:val="0"/>
    </w:rPr>
  </w:style>
  <w:style w:type="paragraph" w:customStyle="1" w:styleId="34">
    <w:name w:val="Table Paragraph"/>
    <w:basedOn w:val="1"/>
    <w:next w:val="1"/>
    <w:qFormat/>
    <w:uiPriority w:val="1"/>
    <w:rPr>
      <w:rFonts w:ascii="宋体" w:hAnsi="宋体" w:cs="宋体"/>
    </w:rPr>
  </w:style>
  <w:style w:type="character" w:customStyle="1" w:styleId="35">
    <w:name w:val="批注框文本 Char"/>
    <w:basedOn w:val="23"/>
    <w:link w:val="15"/>
    <w:qFormat/>
    <w:uiPriority w:val="0"/>
    <w:rPr>
      <w:rFonts w:eastAsiaTheme="minorEastAsia" w:cstheme="minorBidi"/>
      <w:kern w:val="2"/>
      <w:sz w:val="18"/>
      <w:szCs w:val="18"/>
    </w:rPr>
  </w:style>
  <w:style w:type="character" w:customStyle="1" w:styleId="36">
    <w:name w:val="批注文字 Char"/>
    <w:basedOn w:val="23"/>
    <w:link w:val="8"/>
    <w:qFormat/>
    <w:uiPriority w:val="0"/>
    <w:rPr>
      <w:rFonts w:eastAsiaTheme="minorEastAsia" w:cstheme="minorBidi"/>
      <w:kern w:val="2"/>
      <w:sz w:val="21"/>
      <w:szCs w:val="24"/>
    </w:rPr>
  </w:style>
  <w:style w:type="character" w:customStyle="1" w:styleId="37">
    <w:name w:val="批注主题 Char"/>
    <w:basedOn w:val="36"/>
    <w:link w:val="20"/>
    <w:qFormat/>
    <w:uiPriority w:val="0"/>
  </w:style>
  <w:style w:type="paragraph" w:customStyle="1" w:styleId="38">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9">
    <w:name w:val="表标题"/>
    <w:basedOn w:val="1"/>
    <w:qFormat/>
    <w:uiPriority w:val="0"/>
    <w:pPr>
      <w:spacing w:line="500" w:lineRule="exact"/>
      <w:ind w:firstLine="0" w:firstLineChars="0"/>
      <w:jc w:val="center"/>
    </w:pPr>
    <w:rPr>
      <w:b/>
    </w:rPr>
  </w:style>
  <w:style w:type="paragraph" w:customStyle="1" w:styleId="40">
    <w:name w:val="Other|1"/>
    <w:basedOn w:val="1"/>
    <w:qFormat/>
    <w:uiPriority w:val="0"/>
    <w:pPr>
      <w:widowControl w:val="0"/>
      <w:shd w:val="clear" w:color="auto" w:fill="auto"/>
      <w:jc w:val="center"/>
    </w:pPr>
    <w:rPr>
      <w:u w:val="none"/>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17128</Words>
  <Characters>20431</Characters>
  <Lines>109</Lines>
  <Paragraphs>30</Paragraphs>
  <TotalTime>1</TotalTime>
  <ScaleCrop>false</ScaleCrop>
  <LinksUpToDate>false</LinksUpToDate>
  <CharactersWithSpaces>20625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2020-06-18T00:58:00Z</dcterms:created>
  <dc:creator>BAOBINGF。</dc:creator>
  <cp:lastModifiedBy>zheng</cp:lastModifiedBy>
  <cp:lastPrinted>2021-11-02T02:07:00Z</cp:lastPrinted>
  <dcterms:modified xsi:type="dcterms:W3CDTF">2022-10-18T03:59:27Z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82E5E007EA8A433D8AD23F8811613548</vt:lpwstr>
  </property>
</Properties>
</file>