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60" w:lineRule="exact"/>
        <w:jc w:val="center"/>
        <w:rPr>
          <w:rFonts w:hint="eastAsia" w:ascii="Times New Roman" w:hAnsi="宋体" w:eastAsia="微软雅黑"/>
          <w:b/>
          <w:spacing w:val="-10"/>
          <w:sz w:val="32"/>
          <w:szCs w:val="32"/>
          <w:lang w:eastAsia="zh-CN"/>
        </w:rPr>
      </w:pPr>
      <w:r>
        <w:rPr>
          <w:rFonts w:hint="eastAsia" w:ascii="Times New Roman" w:hAnsi="宋体"/>
          <w:b/>
          <w:spacing w:val="-10"/>
          <w:sz w:val="32"/>
          <w:szCs w:val="32"/>
          <w:lang w:eastAsia="zh-CN"/>
        </w:rPr>
        <w:t>安徽鼎盛力合包装材料有限公司</w:t>
      </w:r>
    </w:p>
    <w:p>
      <w:pPr>
        <w:spacing w:after="0" w:line="460" w:lineRule="exact"/>
        <w:jc w:val="center"/>
        <w:rPr>
          <w:rFonts w:hint="eastAsia" w:ascii="Times New Roman" w:hAnsi="宋体" w:eastAsia="微软雅黑"/>
          <w:b/>
          <w:spacing w:val="-10"/>
          <w:sz w:val="32"/>
          <w:szCs w:val="32"/>
          <w:lang w:eastAsia="zh-CN"/>
        </w:rPr>
      </w:pPr>
      <w:r>
        <w:rPr>
          <w:rFonts w:hint="eastAsia" w:ascii="Times New Roman" w:hAnsi="宋体"/>
          <w:b/>
          <w:spacing w:val="-10"/>
          <w:sz w:val="32"/>
          <w:szCs w:val="32"/>
          <w:lang w:eastAsia="zh-CN"/>
        </w:rPr>
        <w:t>年产1000吨PE快递防水袋项目</w:t>
      </w:r>
    </w:p>
    <w:p>
      <w:pPr>
        <w:spacing w:after="0" w:line="460" w:lineRule="exact"/>
        <w:jc w:val="center"/>
        <w:rPr>
          <w:rFonts w:ascii="Times New Roman" w:hAnsi="Times New Roman"/>
          <w:b/>
          <w:bCs/>
          <w:sz w:val="32"/>
          <w:szCs w:val="32"/>
        </w:rPr>
      </w:pPr>
      <w:r>
        <w:rPr>
          <w:rFonts w:ascii="Times New Roman" w:hAnsi="宋体"/>
          <w:b/>
          <w:bCs/>
          <w:sz w:val="32"/>
          <w:szCs w:val="32"/>
        </w:rPr>
        <w:t>竣工环境保护验收意见</w:t>
      </w:r>
    </w:p>
    <w:p>
      <w:pPr>
        <w:spacing w:after="0" w:line="440" w:lineRule="exact"/>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201</w:t>
      </w:r>
      <w:r>
        <w:rPr>
          <w:rFonts w:hint="eastAsia" w:ascii="Times New Roman" w:hAnsi="Times New Roman" w:cs="Times New Roman" w:eastAsiaTheme="minorEastAsia"/>
          <w:sz w:val="24"/>
          <w:szCs w:val="24"/>
        </w:rPr>
        <w:t>9</w:t>
      </w:r>
      <w:r>
        <w:rPr>
          <w:rFonts w:ascii="Times New Roman" w:hAnsi="Times New Roman" w:cs="Times New Roman" w:eastAsiaTheme="minorEastAsia"/>
          <w:sz w:val="24"/>
          <w:szCs w:val="24"/>
        </w:rPr>
        <w:t>年</w:t>
      </w:r>
      <w:r>
        <w:rPr>
          <w:rFonts w:hint="eastAsia" w:ascii="Times New Roman" w:hAnsi="Times New Roman" w:cs="Times New Roman" w:eastAsiaTheme="minorEastAsia"/>
          <w:sz w:val="24"/>
          <w:szCs w:val="24"/>
          <w:lang w:val="en-US" w:eastAsia="zh-CN"/>
        </w:rPr>
        <w:t>10</w:t>
      </w:r>
      <w:r>
        <w:rPr>
          <w:rFonts w:ascii="Times New Roman" w:hAnsi="Times New Roman" w:cs="Times New Roman" w:eastAsiaTheme="minorEastAsia"/>
          <w:sz w:val="24"/>
          <w:szCs w:val="24"/>
        </w:rPr>
        <w:t>月</w:t>
      </w:r>
      <w:r>
        <w:rPr>
          <w:rFonts w:hint="eastAsia" w:ascii="Times New Roman" w:hAnsi="Times New Roman" w:cs="Times New Roman" w:eastAsiaTheme="minorEastAsia"/>
          <w:sz w:val="24"/>
          <w:szCs w:val="24"/>
          <w:lang w:val="en-US" w:eastAsia="zh-CN"/>
        </w:rPr>
        <w:t>27</w:t>
      </w:r>
      <w:r>
        <w:rPr>
          <w:rFonts w:ascii="Times New Roman" w:hAnsi="Times New Roman" w:cs="Times New Roman" w:eastAsiaTheme="minorEastAsia"/>
          <w:sz w:val="24"/>
          <w:szCs w:val="24"/>
        </w:rPr>
        <w:t>日，</w:t>
      </w:r>
      <w:r>
        <w:rPr>
          <w:rFonts w:hint="eastAsia" w:ascii="Times New Roman" w:hAnsi="Times New Roman" w:cs="Times New Roman" w:eastAsiaTheme="minorEastAsia"/>
          <w:sz w:val="24"/>
          <w:szCs w:val="24"/>
          <w:lang w:eastAsia="zh-CN"/>
        </w:rPr>
        <w:t>安徽鼎盛力合包装材料有限公司</w:t>
      </w:r>
      <w:r>
        <w:rPr>
          <w:rFonts w:ascii="Times New Roman" w:hAnsi="Times New Roman" w:cs="Times New Roman" w:eastAsiaTheme="minorEastAsia"/>
          <w:sz w:val="24"/>
          <w:szCs w:val="24"/>
        </w:rPr>
        <w:t>按照《建设项目竣工环境保护验收暂行办法》要求，主持召开了“</w:t>
      </w:r>
      <w:r>
        <w:rPr>
          <w:rFonts w:hint="eastAsia" w:ascii="Times New Roman" w:hAnsi="Times New Roman" w:cs="Times New Roman" w:eastAsiaTheme="minorEastAsia"/>
          <w:sz w:val="24"/>
          <w:szCs w:val="24"/>
          <w:lang w:eastAsia="zh-CN"/>
        </w:rPr>
        <w:t>年产1000吨PE快递防水袋项目</w:t>
      </w:r>
      <w:r>
        <w:rPr>
          <w:rFonts w:ascii="Times New Roman" w:hAnsi="Times New Roman" w:cs="Times New Roman" w:eastAsiaTheme="minorEastAsia"/>
          <w:sz w:val="24"/>
          <w:szCs w:val="24"/>
        </w:rPr>
        <w:t>”竣工环境保护验收会议，与会代表严格依照国家有关法律法规、建设项目竣工环境保护验收技术规范、本项目环境影响评价报告表和审批部门审批文件要求，现场查看了项目有关环境保护措施，听取了建设单位关于项目“三同时”执行情况的介绍，审阅并核实有关资料，经认真讨论，形成验收意见如下：</w:t>
      </w:r>
    </w:p>
    <w:p>
      <w:pPr>
        <w:spacing w:after="0" w:line="440" w:lineRule="exact"/>
        <w:ind w:firstLine="480" w:firstLineChars="200"/>
        <w:rPr>
          <w:rFonts w:ascii="Times New Roman" w:hAnsi="Times New Roman" w:cs="Times New Roman" w:eastAsiaTheme="minorEastAsia"/>
          <w:sz w:val="24"/>
        </w:rPr>
      </w:pPr>
      <w:r>
        <w:rPr>
          <w:rFonts w:ascii="Times New Roman" w:hAnsi="Times New Roman" w:cs="Times New Roman" w:eastAsiaTheme="minorEastAsia"/>
          <w:bCs/>
          <w:sz w:val="24"/>
          <w:szCs w:val="24"/>
        </w:rPr>
        <w:t>一、</w:t>
      </w:r>
      <w:r>
        <w:rPr>
          <w:rFonts w:ascii="Times New Roman" w:hAnsi="Times New Roman" w:cs="Times New Roman" w:eastAsiaTheme="minorEastAsia"/>
          <w:b/>
          <w:sz w:val="24"/>
        </w:rPr>
        <w:t>项目建设基本情况</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1、建设地点、规模、主要建设内容</w:t>
      </w:r>
    </w:p>
    <w:p>
      <w:pPr>
        <w:spacing w:after="0" w:line="360" w:lineRule="auto"/>
        <w:ind w:firstLine="480" w:firstLineChars="200"/>
        <w:rPr>
          <w:rFonts w:hint="eastAsia" w:ascii="Times New Roman" w:hAnsi="Times New Roman" w:cs="Times New Roman" w:eastAsiaTheme="minorEastAsia"/>
          <w:sz w:val="24"/>
          <w:szCs w:val="24"/>
        </w:rPr>
      </w:pPr>
      <w:r>
        <w:rPr>
          <w:rFonts w:ascii="Times New Roman" w:hAnsi="Times New Roman" w:cs="Times New Roman" w:eastAsiaTheme="minorEastAsia"/>
          <w:sz w:val="24"/>
          <w:szCs w:val="24"/>
        </w:rPr>
        <w:t>项目</w:t>
      </w:r>
      <w:r>
        <w:rPr>
          <w:rFonts w:hint="eastAsia" w:ascii="Times New Roman" w:hAnsi="Times New Roman" w:cs="Times New Roman" w:eastAsiaTheme="minorEastAsia"/>
          <w:sz w:val="24"/>
          <w:szCs w:val="24"/>
        </w:rPr>
        <w:t>租赁安徽丰田竹业制造公司内标准化厂房作为本项目生产及办公场所，总建筑面积为1000m</w:t>
      </w:r>
      <w:r>
        <w:rPr>
          <w:rFonts w:hint="eastAsia" w:ascii="Times New Roman" w:hAnsi="Times New Roman" w:cs="Times New Roman" w:eastAsiaTheme="minorEastAsia"/>
          <w:sz w:val="24"/>
          <w:szCs w:val="24"/>
          <w:vertAlign w:val="superscript"/>
        </w:rPr>
        <w:t>2</w:t>
      </w:r>
      <w:r>
        <w:rPr>
          <w:rFonts w:hint="eastAsia" w:ascii="Times New Roman" w:hAnsi="Times New Roman" w:cs="Times New Roman" w:eastAsiaTheme="minorEastAsia"/>
          <w:sz w:val="24"/>
          <w:szCs w:val="24"/>
        </w:rPr>
        <w:t>，厂房内主要布设吹塑机、切袋机、粘胶机、切片机等设备进行快递袋生产，可实现年生产1000吨快递防水袋的生产能力。</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2、建设过程及环保审批情况</w:t>
      </w:r>
    </w:p>
    <w:p>
      <w:pPr>
        <w:spacing w:after="0" w:line="360" w:lineRule="auto"/>
        <w:ind w:firstLine="480" w:firstLineChars="200"/>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rPr>
        <w:t>安徽鼎盛力合包装材料有限公司于2019年6月在霍山经济开发区经三路与世林路交汇口，安徽丰田竹业制造公司厂内建设年产1000吨PE快递防水袋项目，并于2019年7月8日取得了六安市霍山县生态环境分局给出的《关于安徽鼎盛力合包装材料有限公司年产1000吨PE快递防水袋项目环境影响报告表的批复》（霍环评[2019]37号）</w:t>
      </w:r>
      <w:r>
        <w:rPr>
          <w:rFonts w:hint="eastAsia" w:ascii="Times New Roman" w:hAnsi="Times New Roman" w:cs="Times New Roman" w:eastAsiaTheme="minorEastAsia"/>
          <w:sz w:val="24"/>
          <w:szCs w:val="24"/>
          <w:lang w:eastAsia="zh-CN"/>
        </w:rPr>
        <w:t>。</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w:t>
      </w:r>
      <w:r>
        <w:rPr>
          <w:rFonts w:hint="eastAsia" w:ascii="Times New Roman" w:hAnsi="Times New Roman" w:cs="Times New Roman" w:eastAsiaTheme="minorEastAsia"/>
          <w:sz w:val="24"/>
          <w:szCs w:val="24"/>
        </w:rPr>
        <w:t>验收范围</w:t>
      </w:r>
    </w:p>
    <w:p>
      <w:pPr>
        <w:spacing w:after="0" w:line="440" w:lineRule="exact"/>
        <w:ind w:firstLine="480" w:firstLineChars="200"/>
        <w:rPr>
          <w:rFonts w:hint="default" w:ascii="Times New Roman" w:hAnsi="Times New Roman" w:cs="Times New Roman" w:eastAsiaTheme="minorEastAsia"/>
          <w:sz w:val="24"/>
          <w:szCs w:val="24"/>
        </w:rPr>
      </w:pPr>
      <w:r>
        <w:rPr>
          <w:rFonts w:hint="eastAsia" w:ascii="Times New Roman" w:hAnsi="Times New Roman" w:cs="Times New Roman" w:eastAsiaTheme="minorEastAsia"/>
          <w:sz w:val="24"/>
          <w:szCs w:val="24"/>
        </w:rPr>
        <w:t>本次验收范围：PE快递防水袋</w:t>
      </w:r>
      <w:r>
        <w:rPr>
          <w:rFonts w:hint="eastAsia" w:ascii="Times New Roman" w:hAnsi="Times New Roman" w:cs="Times New Roman" w:eastAsiaTheme="minorEastAsia"/>
          <w:sz w:val="24"/>
          <w:szCs w:val="24"/>
          <w:lang w:val="en-US" w:eastAsia="zh-CN"/>
        </w:rPr>
        <w:t>生产线，</w:t>
      </w:r>
      <w:r>
        <w:rPr>
          <w:rFonts w:hint="default" w:ascii="Times New Roman" w:hAnsi="Times New Roman" w:cs="Times New Roman" w:eastAsiaTheme="minorEastAsia"/>
          <w:sz w:val="24"/>
          <w:szCs w:val="24"/>
        </w:rPr>
        <w:t>同时配备办公室、成品存放库、木材原料存放库、环保工程等。</w:t>
      </w:r>
      <w:r>
        <w:rPr>
          <w:rFonts w:hint="eastAsia" w:ascii="Times New Roman" w:hAnsi="Times New Roman" w:cs="Times New Roman" w:eastAsiaTheme="minorEastAsia"/>
          <w:sz w:val="24"/>
          <w:szCs w:val="24"/>
          <w:lang w:eastAsia="zh-CN"/>
        </w:rPr>
        <w:t>相关</w:t>
      </w:r>
      <w:r>
        <w:rPr>
          <w:rFonts w:hint="default" w:ascii="Times New Roman" w:hAnsi="Times New Roman" w:cs="Times New Roman" w:eastAsiaTheme="minorEastAsia"/>
          <w:sz w:val="24"/>
          <w:szCs w:val="24"/>
        </w:rPr>
        <w:t>生产线均按环评申报内容建成投入生产运行，并配套完成相应环保设施的建设。</w:t>
      </w:r>
    </w:p>
    <w:p>
      <w:pPr>
        <w:spacing w:after="0" w:line="440" w:lineRule="exact"/>
        <w:ind w:firstLine="482" w:firstLineChars="200"/>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二、工程变动情况</w:t>
      </w:r>
    </w:p>
    <w:p>
      <w:pPr>
        <w:spacing w:after="0" w:line="440" w:lineRule="exact"/>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对照环评及其批复文件，经查阅资料和现场踏勘，本项目建设情况与环评一致，无重大变动情况。</w:t>
      </w:r>
    </w:p>
    <w:p>
      <w:pPr>
        <w:spacing w:after="0" w:line="440" w:lineRule="exact"/>
        <w:ind w:firstLine="482" w:firstLineChars="200"/>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三、环境保护措施建设情况</w:t>
      </w:r>
    </w:p>
    <w:p>
      <w:pPr>
        <w:spacing w:after="0" w:line="440" w:lineRule="exact"/>
        <w:ind w:firstLine="480" w:firstLineChars="200"/>
        <w:rPr>
          <w:rFonts w:ascii="Times New Roman" w:hAnsi="Times New Roman" w:cs="Times New Roman" w:eastAsiaTheme="minorEastAsia"/>
          <w:bCs/>
          <w:sz w:val="24"/>
          <w:szCs w:val="24"/>
        </w:rPr>
      </w:pPr>
      <w:bookmarkStart w:id="0" w:name="_Toc500753937"/>
      <w:bookmarkStart w:id="1" w:name="_Toc500597872"/>
      <w:r>
        <w:rPr>
          <w:rFonts w:ascii="Times New Roman" w:hAnsi="Times New Roman" w:cs="Times New Roman" w:eastAsiaTheme="minorEastAsia"/>
          <w:bCs/>
          <w:sz w:val="24"/>
          <w:szCs w:val="24"/>
        </w:rPr>
        <w:t>（1）废水排放及防治措施</w:t>
      </w:r>
    </w:p>
    <w:p>
      <w:pPr>
        <w:spacing w:after="0" w:line="440" w:lineRule="exact"/>
        <w:ind w:firstLine="480" w:firstLineChars="200"/>
        <w:rPr>
          <w:rFonts w:hint="eastAsia" w:ascii="Times New Roman" w:hAnsi="Times New Roman" w:cs="Times New Roman" w:eastAsiaTheme="minorEastAsia"/>
          <w:bCs/>
          <w:sz w:val="24"/>
          <w:szCs w:val="24"/>
        </w:rPr>
      </w:pPr>
      <w:r>
        <w:rPr>
          <w:rFonts w:hint="eastAsia" w:ascii="Times New Roman" w:hAnsi="Times New Roman" w:cs="Times New Roman" w:eastAsiaTheme="minorEastAsia"/>
          <w:bCs/>
          <w:sz w:val="24"/>
          <w:szCs w:val="24"/>
        </w:rPr>
        <w:t>本项目废水主要为生活污水，项目劳动定员15人，生活污水依托安徽丰田竹叶制造有限公司化粪池处理后接入周边市政污水管网排入霍山经济开发区工业污水处理厂处理后排入东淠河。</w:t>
      </w:r>
    </w:p>
    <w:p>
      <w:pPr>
        <w:spacing w:after="0" w:line="440" w:lineRule="exact"/>
        <w:ind w:firstLine="480" w:firstLineChars="200"/>
        <w:rPr>
          <w:rFonts w:ascii="Times New Roman" w:hAnsi="Times New Roman" w:cs="Times New Roman" w:eastAsiaTheme="minorEastAsia"/>
          <w:bCs/>
          <w:sz w:val="24"/>
          <w:szCs w:val="24"/>
        </w:rPr>
      </w:pPr>
      <w:r>
        <w:rPr>
          <w:rFonts w:ascii="Times New Roman" w:hAnsi="Times New Roman" w:cs="Times New Roman" w:eastAsiaTheme="minorEastAsia"/>
          <w:bCs/>
          <w:sz w:val="24"/>
          <w:szCs w:val="24"/>
        </w:rPr>
        <w:t>（2）废气排放及防治措施</w:t>
      </w:r>
    </w:p>
    <w:p>
      <w:pPr>
        <w:spacing w:after="0" w:line="440" w:lineRule="exact"/>
        <w:ind w:firstLine="480" w:firstLineChars="200"/>
        <w:rPr>
          <w:rFonts w:hint="eastAsia" w:ascii="Times New Roman" w:hAnsi="Times New Roman" w:cs="Times New Roman" w:eastAsiaTheme="minorEastAsia"/>
          <w:bCs/>
          <w:sz w:val="24"/>
          <w:szCs w:val="24"/>
        </w:rPr>
      </w:pPr>
      <w:r>
        <w:rPr>
          <w:rFonts w:hint="eastAsia" w:ascii="Times New Roman" w:hAnsi="Times New Roman" w:cs="Times New Roman" w:eastAsiaTheme="minorEastAsia"/>
          <w:bCs/>
          <w:sz w:val="24"/>
          <w:szCs w:val="24"/>
        </w:rPr>
        <w:t>根据生产工艺，项目运营期废气主要为吹膜废气和粘胶废气。</w:t>
      </w:r>
    </w:p>
    <w:p>
      <w:pPr>
        <w:spacing w:after="0" w:line="440" w:lineRule="exact"/>
        <w:ind w:firstLine="480" w:firstLineChars="200"/>
        <w:rPr>
          <w:rFonts w:hint="eastAsia" w:ascii="Times New Roman" w:hAnsi="Times New Roman" w:cs="Times New Roman" w:eastAsiaTheme="minorEastAsia"/>
          <w:bCs/>
          <w:sz w:val="24"/>
          <w:szCs w:val="24"/>
        </w:rPr>
      </w:pPr>
      <w:r>
        <w:rPr>
          <w:rFonts w:hint="eastAsia" w:ascii="Times New Roman" w:hAnsi="Times New Roman" w:cs="Times New Roman" w:eastAsiaTheme="minorEastAsia"/>
          <w:bCs/>
          <w:sz w:val="24"/>
          <w:szCs w:val="24"/>
        </w:rPr>
        <w:t>吹膜和粘胶工段产生的非甲烷总烃经设备上方集气罩收集后经中央集气管道统一纳入1套“光催化氧化+活性炭吸附”装置处理后通过1根15m高排气筒排放。</w:t>
      </w:r>
    </w:p>
    <w:p>
      <w:pPr>
        <w:spacing w:after="0" w:line="440" w:lineRule="exact"/>
        <w:ind w:firstLine="480" w:firstLineChars="200"/>
        <w:rPr>
          <w:rFonts w:ascii="Times New Roman" w:hAnsi="Times New Roman" w:cs="Times New Roman" w:eastAsiaTheme="minorEastAsia"/>
          <w:bCs/>
          <w:sz w:val="24"/>
          <w:szCs w:val="24"/>
        </w:rPr>
      </w:pPr>
      <w:r>
        <w:rPr>
          <w:rFonts w:ascii="Times New Roman" w:hAnsi="Times New Roman" w:cs="Times New Roman" w:eastAsiaTheme="minorEastAsia"/>
          <w:bCs/>
          <w:sz w:val="24"/>
          <w:szCs w:val="24"/>
        </w:rPr>
        <w:t>（3）噪声排放及防治措施</w:t>
      </w:r>
    </w:p>
    <w:p>
      <w:pPr>
        <w:spacing w:after="0" w:line="440" w:lineRule="exact"/>
        <w:ind w:firstLine="480" w:firstLineChars="200"/>
        <w:rPr>
          <w:rFonts w:ascii="Times New Roman" w:hAnsi="Times New Roman" w:cs="Times New Roman" w:eastAsiaTheme="minorEastAsia"/>
          <w:bCs/>
          <w:sz w:val="24"/>
          <w:szCs w:val="24"/>
        </w:rPr>
      </w:pPr>
      <w:r>
        <w:rPr>
          <w:rFonts w:ascii="Times New Roman" w:hAnsi="Times New Roman" w:cs="Times New Roman" w:eastAsiaTheme="minorEastAsia"/>
          <w:bCs/>
          <w:sz w:val="24"/>
          <w:szCs w:val="24"/>
        </w:rPr>
        <w:t>项目运营期产生噪声的设备主要为生产车间设备运行时噪声，项目目前已采取基础减震、厂房隔声等降噪措施。</w:t>
      </w:r>
    </w:p>
    <w:p>
      <w:pPr>
        <w:spacing w:after="0" w:line="440" w:lineRule="exact"/>
        <w:ind w:firstLine="480" w:firstLineChars="200"/>
        <w:rPr>
          <w:rFonts w:ascii="Times New Roman" w:hAnsi="Times New Roman" w:cs="Times New Roman" w:eastAsiaTheme="minorEastAsia"/>
          <w:bCs/>
          <w:sz w:val="24"/>
          <w:szCs w:val="24"/>
        </w:rPr>
      </w:pPr>
      <w:r>
        <w:rPr>
          <w:rFonts w:ascii="Times New Roman" w:hAnsi="Times New Roman" w:cs="Times New Roman" w:eastAsiaTheme="minorEastAsia"/>
          <w:bCs/>
          <w:sz w:val="24"/>
          <w:szCs w:val="24"/>
        </w:rPr>
        <w:t>（4）固废排放及治理措施</w:t>
      </w:r>
    </w:p>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480"/>
        <w:textAlignment w:val="auto"/>
        <w:rPr>
          <w:rFonts w:hint="eastAsia" w:ascii="Times New Roman" w:hAnsi="Times New Roman" w:cs="Times New Roman" w:eastAsiaTheme="minorEastAsia"/>
          <w:bCs/>
          <w:sz w:val="24"/>
          <w:szCs w:val="24"/>
        </w:rPr>
      </w:pPr>
      <w:r>
        <w:rPr>
          <w:rFonts w:hint="eastAsia" w:ascii="Times New Roman" w:hAnsi="Times New Roman" w:cs="Times New Roman" w:eastAsiaTheme="minorEastAsia"/>
          <w:bCs/>
          <w:sz w:val="24"/>
          <w:szCs w:val="24"/>
        </w:rPr>
        <w:t>本项目职工生活垃圾经收集后的生活垃圾交由环卫部门进行处置；生产的边角料和不合格品经厂区一般固废暂存间收集后资源外售；更换的废活性炭和UV灯管经厂区危废暂存间收集后委托有资质单位处置。</w:t>
      </w:r>
    </w:p>
    <w:p>
      <w:pPr>
        <w:spacing w:after="0" w:line="440" w:lineRule="exact"/>
        <w:ind w:firstLine="482" w:firstLineChars="200"/>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四、环保保护设施</w:t>
      </w:r>
      <w:r>
        <w:rPr>
          <w:rFonts w:hint="eastAsia" w:ascii="Times New Roman" w:hAnsi="Times New Roman" w:cs="Times New Roman" w:eastAsiaTheme="minorEastAsia"/>
          <w:b/>
          <w:sz w:val="24"/>
          <w:szCs w:val="24"/>
        </w:rPr>
        <w:t>监测结果分析</w:t>
      </w:r>
    </w:p>
    <w:bookmarkEnd w:id="0"/>
    <w:bookmarkEnd w:id="1"/>
    <w:p>
      <w:pPr>
        <w:spacing w:after="0" w:line="440" w:lineRule="exact"/>
        <w:ind w:firstLine="480" w:firstLineChars="200"/>
        <w:rPr>
          <w:rFonts w:hint="default" w:ascii="Times New Roman" w:hAnsi="Times New Roman" w:cs="Times New Roman" w:eastAsiaTheme="minorEastAsia"/>
          <w:b w:val="0"/>
          <w:bCs w:val="0"/>
          <w:sz w:val="24"/>
          <w:szCs w:val="24"/>
          <w:shd w:val="clear" w:color="auto" w:fill="FFFFFF"/>
        </w:rPr>
      </w:pPr>
      <w:bookmarkStart w:id="2" w:name="_Toc500754030"/>
      <w:bookmarkStart w:id="3" w:name="_Toc500598051"/>
      <w:r>
        <w:rPr>
          <w:rFonts w:hint="default" w:ascii="Times New Roman" w:hAnsi="Times New Roman" w:cs="Times New Roman" w:eastAsiaTheme="minorEastAsia"/>
          <w:b w:val="0"/>
          <w:bCs w:val="0"/>
          <w:sz w:val="24"/>
          <w:szCs w:val="24"/>
          <w:shd w:val="clear" w:color="auto" w:fill="FFFFFF"/>
        </w:rPr>
        <w:t>（1）废气监测结果</w:t>
      </w:r>
    </w:p>
    <w:p>
      <w:pPr>
        <w:spacing w:after="0" w:line="440" w:lineRule="exact"/>
        <w:ind w:firstLine="480" w:firstLineChars="200"/>
        <w:rPr>
          <w:rFonts w:hint="default" w:ascii="Times New Roman" w:hAnsi="Times New Roman" w:cs="Times New Roman" w:eastAsiaTheme="minorEastAsia"/>
          <w:b w:val="0"/>
          <w:bCs w:val="0"/>
          <w:sz w:val="24"/>
          <w:szCs w:val="24"/>
          <w:shd w:val="clear" w:color="auto" w:fill="FFFFFF"/>
        </w:rPr>
      </w:pPr>
      <w:r>
        <w:rPr>
          <w:rFonts w:hint="default" w:ascii="Times New Roman" w:hAnsi="Times New Roman" w:cs="Times New Roman" w:eastAsiaTheme="minorEastAsia"/>
          <w:b w:val="0"/>
          <w:bCs w:val="0"/>
          <w:sz w:val="24"/>
          <w:szCs w:val="24"/>
          <w:shd w:val="clear" w:color="auto" w:fill="FFFFFF"/>
        </w:rPr>
        <w:t>①有组织排放</w:t>
      </w:r>
    </w:p>
    <w:p>
      <w:pPr>
        <w:spacing w:after="0" w:line="440" w:lineRule="exact"/>
        <w:ind w:firstLine="480" w:firstLineChars="200"/>
        <w:jc w:val="both"/>
        <w:rPr>
          <w:rFonts w:hint="default" w:ascii="Times New Roman" w:hAnsi="Times New Roman" w:cs="Times New Roman" w:eastAsiaTheme="minorEastAsia"/>
          <w:b w:val="0"/>
          <w:bCs w:val="0"/>
          <w:sz w:val="24"/>
          <w:szCs w:val="24"/>
          <w:shd w:val="clear" w:color="auto" w:fill="FFFFFF"/>
        </w:rPr>
      </w:pPr>
      <w:r>
        <w:rPr>
          <w:rFonts w:hint="default" w:ascii="Times New Roman" w:hAnsi="Times New Roman" w:cs="Times New Roman" w:eastAsiaTheme="minorEastAsia"/>
          <w:b w:val="0"/>
          <w:bCs w:val="0"/>
          <w:sz w:val="24"/>
          <w:szCs w:val="24"/>
          <w:shd w:val="clear" w:color="auto" w:fill="FFFFFF"/>
        </w:rPr>
        <w:t>项目实际建成1套“集气罩+中央集尘管道+UV光解+活性炭”装置对生产废气进行末端处理后经1根15m排气筒有组织排放，根据验收期间监测结果统计可知，排气筒排放的非甲烷总烃最大浓度值为：1.32mg/m</w:t>
      </w:r>
      <w:r>
        <w:rPr>
          <w:rFonts w:hint="default" w:ascii="Times New Roman" w:hAnsi="Times New Roman" w:cs="Times New Roman" w:eastAsiaTheme="minorEastAsia"/>
          <w:b w:val="0"/>
          <w:bCs w:val="0"/>
          <w:sz w:val="24"/>
          <w:szCs w:val="24"/>
          <w:shd w:val="clear" w:color="auto" w:fill="FFFFFF"/>
          <w:vertAlign w:val="superscript"/>
        </w:rPr>
        <w:t>3</w:t>
      </w:r>
      <w:r>
        <w:rPr>
          <w:rFonts w:hint="default" w:ascii="Times New Roman" w:hAnsi="Times New Roman" w:cs="Times New Roman" w:eastAsiaTheme="minorEastAsia"/>
          <w:b w:val="0"/>
          <w:bCs w:val="0"/>
          <w:sz w:val="24"/>
          <w:szCs w:val="24"/>
          <w:shd w:val="clear" w:color="auto" w:fill="FFFFFF"/>
        </w:rPr>
        <w:t>；最大排放速率0.013kg/h。废气中污染物排放均满足《合成树脂工业污染物排放标准》（GB31572-2015）表</w:t>
      </w:r>
      <w:r>
        <w:rPr>
          <w:rFonts w:hint="default" w:ascii="Times New Roman" w:hAnsi="Times New Roman" w:cs="Times New Roman" w:eastAsiaTheme="minorEastAsia"/>
          <w:b w:val="0"/>
          <w:bCs w:val="0"/>
          <w:sz w:val="24"/>
          <w:szCs w:val="24"/>
          <w:shd w:val="clear" w:color="auto" w:fill="FFFFFF"/>
          <w:lang w:val="en-US" w:eastAsia="zh-CN"/>
        </w:rPr>
        <w:t>4</w:t>
      </w:r>
      <w:r>
        <w:rPr>
          <w:rFonts w:hint="default" w:ascii="Times New Roman" w:hAnsi="Times New Roman" w:cs="Times New Roman" w:eastAsiaTheme="minorEastAsia"/>
          <w:b w:val="0"/>
          <w:bCs w:val="0"/>
          <w:sz w:val="24"/>
          <w:szCs w:val="24"/>
          <w:shd w:val="clear" w:color="auto" w:fill="FFFFFF"/>
        </w:rPr>
        <w:t>中大气污染物排放限值。</w:t>
      </w:r>
    </w:p>
    <w:p>
      <w:pPr>
        <w:spacing w:after="0" w:line="440" w:lineRule="exact"/>
        <w:ind w:firstLine="480" w:firstLineChars="200"/>
        <w:rPr>
          <w:rFonts w:hint="default" w:ascii="Times New Roman" w:hAnsi="Times New Roman" w:cs="Times New Roman" w:eastAsiaTheme="minorEastAsia"/>
          <w:b w:val="0"/>
          <w:bCs w:val="0"/>
          <w:sz w:val="24"/>
          <w:szCs w:val="24"/>
          <w:shd w:val="clear" w:color="auto" w:fill="FFFFFF"/>
        </w:rPr>
      </w:pPr>
      <w:r>
        <w:rPr>
          <w:rFonts w:hint="default" w:ascii="Times New Roman" w:hAnsi="Times New Roman" w:cs="Times New Roman" w:eastAsiaTheme="minorEastAsia"/>
          <w:b w:val="0"/>
          <w:bCs w:val="0"/>
          <w:sz w:val="24"/>
          <w:szCs w:val="24"/>
          <w:shd w:val="clear" w:color="auto" w:fill="FFFFFF"/>
        </w:rPr>
        <w:t>②无组织排放</w:t>
      </w:r>
    </w:p>
    <w:p>
      <w:pPr>
        <w:spacing w:after="0" w:line="440" w:lineRule="exact"/>
        <w:ind w:firstLine="480" w:firstLineChars="200"/>
        <w:jc w:val="both"/>
        <w:rPr>
          <w:rFonts w:hint="default" w:ascii="Times New Roman" w:hAnsi="Times New Roman" w:cs="Times New Roman" w:eastAsiaTheme="minorEastAsia"/>
          <w:b w:val="0"/>
          <w:bCs w:val="0"/>
          <w:sz w:val="24"/>
          <w:szCs w:val="24"/>
          <w:shd w:val="clear" w:color="auto" w:fill="FFFFFF"/>
        </w:rPr>
      </w:pPr>
      <w:r>
        <w:rPr>
          <w:rFonts w:hint="default" w:ascii="Times New Roman" w:hAnsi="Times New Roman" w:cs="Times New Roman" w:eastAsiaTheme="minorEastAsia"/>
          <w:b w:val="0"/>
          <w:bCs w:val="0"/>
          <w:sz w:val="24"/>
          <w:szCs w:val="24"/>
          <w:shd w:val="clear" w:color="auto" w:fill="FFFFFF"/>
        </w:rPr>
        <w:t>根据项目区各厂界无组织监测点监测结果可知，非甲烷总烃浓度最大值为</w:t>
      </w:r>
      <w:r>
        <w:rPr>
          <w:rFonts w:hint="default" w:ascii="Times New Roman" w:hAnsi="Times New Roman" w:cs="Times New Roman" w:eastAsiaTheme="minorEastAsia"/>
          <w:b w:val="0"/>
          <w:bCs w:val="0"/>
          <w:sz w:val="24"/>
          <w:szCs w:val="24"/>
          <w:shd w:val="clear" w:color="auto" w:fill="FFFFFF"/>
          <w:lang w:val="en-US" w:eastAsia="zh-CN"/>
        </w:rPr>
        <w:t>1.81</w:t>
      </w:r>
      <w:r>
        <w:rPr>
          <w:rFonts w:hint="default" w:ascii="Times New Roman" w:hAnsi="Times New Roman" w:cs="Times New Roman" w:eastAsiaTheme="minorEastAsia"/>
          <w:b w:val="0"/>
          <w:bCs w:val="0"/>
          <w:sz w:val="24"/>
          <w:szCs w:val="24"/>
          <w:shd w:val="clear" w:color="auto" w:fill="FFFFFF"/>
        </w:rPr>
        <w:t>mg/m3。项目各无组织废气排放《合成树脂工业污染物排放标准》（GB31572-2015）表9企业边界大气污染物浓度限值。</w:t>
      </w:r>
    </w:p>
    <w:p>
      <w:pPr>
        <w:spacing w:after="0" w:line="440" w:lineRule="exact"/>
        <w:ind w:firstLine="480" w:firstLineChars="200"/>
        <w:rPr>
          <w:rFonts w:hint="default" w:ascii="Times New Roman" w:hAnsi="Times New Roman" w:cs="Times New Roman" w:eastAsiaTheme="minorEastAsia"/>
          <w:b w:val="0"/>
          <w:bCs w:val="0"/>
          <w:sz w:val="24"/>
          <w:szCs w:val="24"/>
          <w:shd w:val="clear" w:color="auto" w:fill="FFFFFF"/>
          <w:lang w:eastAsia="zh-CN"/>
        </w:rPr>
      </w:pPr>
      <w:r>
        <w:rPr>
          <w:rFonts w:hint="eastAsia" w:ascii="Times New Roman" w:hAnsi="Times New Roman" w:cs="Times New Roman" w:eastAsiaTheme="minorEastAsia"/>
          <w:b w:val="0"/>
          <w:bCs w:val="0"/>
          <w:sz w:val="24"/>
          <w:szCs w:val="24"/>
          <w:shd w:val="clear" w:color="auto" w:fill="FFFFFF"/>
          <w:lang w:eastAsia="zh-CN"/>
        </w:rPr>
        <w:t>（</w:t>
      </w:r>
      <w:r>
        <w:rPr>
          <w:rFonts w:hint="eastAsia" w:ascii="Times New Roman" w:hAnsi="Times New Roman" w:cs="Times New Roman" w:eastAsiaTheme="minorEastAsia"/>
          <w:b w:val="0"/>
          <w:bCs w:val="0"/>
          <w:sz w:val="24"/>
          <w:szCs w:val="24"/>
          <w:shd w:val="clear" w:color="auto" w:fill="FFFFFF"/>
          <w:lang w:val="en-US" w:eastAsia="zh-CN"/>
        </w:rPr>
        <w:t>2</w:t>
      </w:r>
      <w:r>
        <w:rPr>
          <w:rFonts w:hint="eastAsia" w:ascii="Times New Roman" w:hAnsi="Times New Roman" w:cs="Times New Roman" w:eastAsiaTheme="minorEastAsia"/>
          <w:b w:val="0"/>
          <w:bCs w:val="0"/>
          <w:sz w:val="24"/>
          <w:szCs w:val="24"/>
          <w:shd w:val="clear" w:color="auto" w:fill="FFFFFF"/>
          <w:lang w:eastAsia="zh-CN"/>
        </w:rPr>
        <w:t>）</w:t>
      </w:r>
      <w:r>
        <w:rPr>
          <w:rFonts w:hint="default" w:ascii="Times New Roman" w:hAnsi="Times New Roman" w:cs="Times New Roman" w:eastAsiaTheme="minorEastAsia"/>
          <w:b w:val="0"/>
          <w:bCs w:val="0"/>
          <w:sz w:val="24"/>
          <w:szCs w:val="24"/>
          <w:shd w:val="clear" w:color="auto" w:fill="FFFFFF"/>
          <w:lang w:eastAsia="zh-CN"/>
        </w:rPr>
        <w:t>废水监测结果</w:t>
      </w:r>
    </w:p>
    <w:p>
      <w:pPr>
        <w:spacing w:after="0" w:line="440" w:lineRule="exact"/>
        <w:ind w:firstLine="480" w:firstLineChars="200"/>
        <w:rPr>
          <w:rFonts w:hint="default" w:ascii="Times New Roman" w:hAnsi="Times New Roman" w:cs="Times New Roman" w:eastAsiaTheme="minorEastAsia"/>
          <w:b w:val="0"/>
          <w:bCs w:val="0"/>
          <w:sz w:val="24"/>
          <w:szCs w:val="24"/>
          <w:shd w:val="clear" w:color="auto" w:fill="FFFFFF"/>
          <w:lang w:eastAsia="zh-CN"/>
        </w:rPr>
      </w:pPr>
      <w:r>
        <w:rPr>
          <w:rFonts w:hint="default" w:ascii="Times New Roman" w:hAnsi="Times New Roman" w:cs="Times New Roman" w:eastAsiaTheme="minorEastAsia"/>
          <w:b w:val="0"/>
          <w:bCs w:val="0"/>
          <w:sz w:val="24"/>
          <w:szCs w:val="24"/>
          <w:shd w:val="clear" w:color="auto" w:fill="FFFFFF"/>
          <w:lang w:val="en-US" w:eastAsia="zh-CN"/>
        </w:rPr>
        <w:t>本项目外排废水是生活污水，</w:t>
      </w:r>
      <w:r>
        <w:rPr>
          <w:rFonts w:hint="default" w:ascii="Times New Roman" w:hAnsi="Times New Roman" w:cs="Times New Roman" w:eastAsiaTheme="minorEastAsia"/>
          <w:b w:val="0"/>
          <w:bCs w:val="0"/>
          <w:sz w:val="24"/>
          <w:szCs w:val="24"/>
          <w:shd w:val="clear" w:color="auto" w:fill="FFFFFF"/>
        </w:rPr>
        <w:t>在验收监测期间，本项目</w:t>
      </w:r>
      <w:r>
        <w:rPr>
          <w:rFonts w:hint="default" w:ascii="Times New Roman" w:hAnsi="Times New Roman" w:cs="Times New Roman" w:eastAsiaTheme="minorEastAsia"/>
          <w:b w:val="0"/>
          <w:bCs w:val="0"/>
          <w:sz w:val="24"/>
          <w:szCs w:val="24"/>
          <w:shd w:val="clear" w:color="auto" w:fill="FFFFFF"/>
          <w:lang w:eastAsia="zh-CN"/>
        </w:rPr>
        <w:t>外排废水</w:t>
      </w:r>
      <w:r>
        <w:rPr>
          <w:rFonts w:hint="default" w:ascii="Times New Roman" w:hAnsi="Times New Roman" w:cs="Times New Roman" w:eastAsiaTheme="minorEastAsia"/>
          <w:b w:val="0"/>
          <w:bCs w:val="0"/>
          <w:sz w:val="24"/>
          <w:szCs w:val="24"/>
          <w:shd w:val="clear" w:color="auto" w:fill="FFFFFF"/>
        </w:rPr>
        <w:t>满足《污水综合排放标准》（GB8978-1996）中三级标准，其中氨氮</w:t>
      </w:r>
      <w:r>
        <w:rPr>
          <w:rFonts w:hint="default" w:ascii="Times New Roman" w:hAnsi="Times New Roman" w:cs="Times New Roman" w:eastAsiaTheme="minorEastAsia"/>
          <w:b w:val="0"/>
          <w:bCs w:val="0"/>
          <w:sz w:val="24"/>
          <w:szCs w:val="24"/>
          <w:shd w:val="clear" w:color="auto" w:fill="FFFFFF"/>
          <w:lang w:eastAsia="zh-CN"/>
        </w:rPr>
        <w:t>满足</w:t>
      </w:r>
      <w:r>
        <w:rPr>
          <w:rFonts w:hint="default" w:ascii="Times New Roman" w:hAnsi="Times New Roman" w:cs="Times New Roman" w:eastAsiaTheme="minorEastAsia"/>
          <w:b w:val="0"/>
          <w:bCs w:val="0"/>
          <w:sz w:val="24"/>
          <w:szCs w:val="24"/>
          <w:shd w:val="clear" w:color="auto" w:fill="FFFFFF"/>
        </w:rPr>
        <w:t>《污水排入城镇下水道水质标准》（GB/T31962-2015）中B级接管标准</w:t>
      </w:r>
      <w:r>
        <w:rPr>
          <w:rFonts w:hint="default" w:ascii="Times New Roman" w:hAnsi="Times New Roman" w:cs="Times New Roman" w:eastAsiaTheme="minorEastAsia"/>
          <w:b w:val="0"/>
          <w:bCs w:val="0"/>
          <w:sz w:val="24"/>
          <w:szCs w:val="24"/>
          <w:shd w:val="clear" w:color="auto" w:fill="FFFFFF"/>
          <w:lang w:eastAsia="zh-CN"/>
        </w:rPr>
        <w:t>。</w:t>
      </w:r>
    </w:p>
    <w:p>
      <w:pPr>
        <w:spacing w:after="0" w:line="440" w:lineRule="exact"/>
        <w:ind w:firstLine="480" w:firstLineChars="200"/>
        <w:rPr>
          <w:rFonts w:hint="default" w:ascii="Times New Roman" w:hAnsi="Times New Roman" w:cs="Times New Roman" w:eastAsiaTheme="minorEastAsia"/>
          <w:b w:val="0"/>
          <w:bCs w:val="0"/>
          <w:sz w:val="24"/>
          <w:szCs w:val="24"/>
          <w:shd w:val="clear" w:color="auto" w:fill="FFFFFF"/>
        </w:rPr>
      </w:pPr>
      <w:r>
        <w:rPr>
          <w:rFonts w:hint="default" w:ascii="Times New Roman" w:hAnsi="Times New Roman" w:cs="Times New Roman" w:eastAsiaTheme="minorEastAsia"/>
          <w:b w:val="0"/>
          <w:bCs w:val="0"/>
          <w:sz w:val="24"/>
          <w:szCs w:val="24"/>
          <w:shd w:val="clear" w:color="auto" w:fill="FFFFFF"/>
        </w:rPr>
        <w:t>（</w:t>
      </w:r>
      <w:r>
        <w:rPr>
          <w:rFonts w:hint="default" w:ascii="Times New Roman" w:hAnsi="Times New Roman" w:cs="Times New Roman" w:eastAsiaTheme="minorEastAsia"/>
          <w:b w:val="0"/>
          <w:bCs w:val="0"/>
          <w:sz w:val="24"/>
          <w:szCs w:val="24"/>
          <w:shd w:val="clear" w:color="auto" w:fill="FFFFFF"/>
          <w:lang w:val="en-US" w:eastAsia="zh-CN"/>
        </w:rPr>
        <w:t>3</w:t>
      </w:r>
      <w:r>
        <w:rPr>
          <w:rFonts w:hint="default" w:ascii="Times New Roman" w:hAnsi="Times New Roman" w:cs="Times New Roman" w:eastAsiaTheme="minorEastAsia"/>
          <w:b w:val="0"/>
          <w:bCs w:val="0"/>
          <w:sz w:val="24"/>
          <w:szCs w:val="24"/>
          <w:shd w:val="clear" w:color="auto" w:fill="FFFFFF"/>
        </w:rPr>
        <w:t>）噪声监测结果</w:t>
      </w:r>
    </w:p>
    <w:p>
      <w:pPr>
        <w:spacing w:after="0" w:line="440" w:lineRule="exact"/>
        <w:ind w:firstLine="480" w:firstLineChars="200"/>
        <w:rPr>
          <w:rFonts w:hint="default" w:ascii="Times New Roman" w:hAnsi="Times New Roman" w:cs="Times New Roman" w:eastAsiaTheme="minorEastAsia"/>
          <w:b w:val="0"/>
          <w:bCs w:val="0"/>
          <w:sz w:val="24"/>
          <w:szCs w:val="24"/>
          <w:shd w:val="clear" w:color="auto" w:fill="FFFFFF"/>
        </w:rPr>
      </w:pPr>
      <w:r>
        <w:rPr>
          <w:rFonts w:hint="default" w:ascii="Times New Roman" w:hAnsi="Times New Roman" w:cs="Times New Roman" w:eastAsiaTheme="minorEastAsia"/>
          <w:b w:val="0"/>
          <w:bCs w:val="0"/>
          <w:sz w:val="24"/>
          <w:szCs w:val="24"/>
          <w:shd w:val="clear" w:color="auto" w:fill="FFFFFF"/>
        </w:rPr>
        <w:t>验收监测期间，项目四至厂界昼间噪声在 5</w:t>
      </w:r>
      <w:r>
        <w:rPr>
          <w:rFonts w:hint="default" w:ascii="Times New Roman" w:hAnsi="Times New Roman" w:cs="Times New Roman" w:eastAsiaTheme="minorEastAsia"/>
          <w:b w:val="0"/>
          <w:bCs w:val="0"/>
          <w:sz w:val="24"/>
          <w:szCs w:val="24"/>
          <w:shd w:val="clear" w:color="auto" w:fill="FFFFFF"/>
          <w:lang w:val="en-US" w:eastAsia="zh-CN"/>
        </w:rPr>
        <w:t>2.5</w:t>
      </w:r>
      <w:r>
        <w:rPr>
          <w:rFonts w:hint="default" w:ascii="Times New Roman" w:hAnsi="Times New Roman" w:cs="Times New Roman" w:eastAsiaTheme="minorEastAsia"/>
          <w:b w:val="0"/>
          <w:bCs w:val="0"/>
          <w:sz w:val="24"/>
          <w:szCs w:val="24"/>
          <w:shd w:val="clear" w:color="auto" w:fill="FFFFFF"/>
        </w:rPr>
        <w:t>dB(A)~5</w:t>
      </w:r>
      <w:r>
        <w:rPr>
          <w:rFonts w:hint="default" w:ascii="Times New Roman" w:hAnsi="Times New Roman" w:cs="Times New Roman" w:eastAsiaTheme="minorEastAsia"/>
          <w:b w:val="0"/>
          <w:bCs w:val="0"/>
          <w:sz w:val="24"/>
          <w:szCs w:val="24"/>
          <w:shd w:val="clear" w:color="auto" w:fill="FFFFFF"/>
          <w:lang w:val="en-US" w:eastAsia="zh-CN"/>
        </w:rPr>
        <w:t>7.1</w:t>
      </w:r>
      <w:r>
        <w:rPr>
          <w:rFonts w:hint="default" w:ascii="Times New Roman" w:hAnsi="Times New Roman" w:cs="Times New Roman" w:eastAsiaTheme="minorEastAsia"/>
          <w:b w:val="0"/>
          <w:bCs w:val="0"/>
          <w:sz w:val="24"/>
          <w:szCs w:val="24"/>
          <w:shd w:val="clear" w:color="auto" w:fill="FFFFFF"/>
        </w:rPr>
        <w:t>dB(A)之间，监测结果均符合《工业企业厂界环境噪声排放标准》（GB12348-2008）</w:t>
      </w:r>
      <w:r>
        <w:rPr>
          <w:rFonts w:hint="default" w:ascii="Times New Roman" w:hAnsi="Times New Roman" w:cs="Times New Roman" w:eastAsiaTheme="minorEastAsia"/>
          <w:b w:val="0"/>
          <w:bCs w:val="0"/>
          <w:sz w:val="24"/>
          <w:szCs w:val="24"/>
          <w:shd w:val="clear" w:color="auto" w:fill="FFFFFF"/>
          <w:lang w:val="en-US" w:eastAsia="zh-CN"/>
        </w:rPr>
        <w:t>3</w:t>
      </w:r>
      <w:r>
        <w:rPr>
          <w:rFonts w:hint="default" w:ascii="Times New Roman" w:hAnsi="Times New Roman" w:cs="Times New Roman" w:eastAsiaTheme="minorEastAsia"/>
          <w:b w:val="0"/>
          <w:bCs w:val="0"/>
          <w:sz w:val="24"/>
          <w:szCs w:val="24"/>
          <w:shd w:val="clear" w:color="auto" w:fill="FFFFFF"/>
        </w:rPr>
        <w:t>类区标准限值要求。</w:t>
      </w:r>
      <w:bookmarkEnd w:id="2"/>
      <w:bookmarkEnd w:id="3"/>
    </w:p>
    <w:p>
      <w:pPr>
        <w:spacing w:after="0" w:line="440" w:lineRule="exact"/>
        <w:ind w:firstLine="480" w:firstLineChars="200"/>
        <w:rPr>
          <w:rFonts w:hint="default" w:ascii="Times New Roman" w:hAnsi="Times New Roman" w:cs="Times New Roman" w:eastAsiaTheme="minorEastAsia"/>
          <w:b w:val="0"/>
          <w:bCs w:val="0"/>
          <w:sz w:val="24"/>
          <w:szCs w:val="24"/>
          <w:shd w:val="clear" w:color="auto" w:fill="FFFFFF"/>
        </w:rPr>
      </w:pPr>
      <w:r>
        <w:rPr>
          <w:rFonts w:hint="default" w:ascii="Times New Roman" w:hAnsi="Times New Roman" w:cs="Times New Roman" w:eastAsiaTheme="minorEastAsia"/>
          <w:b w:val="0"/>
          <w:bCs w:val="0"/>
          <w:sz w:val="24"/>
          <w:szCs w:val="24"/>
          <w:shd w:val="clear" w:color="auto" w:fill="FFFFFF"/>
        </w:rPr>
        <w:t>（</w:t>
      </w:r>
      <w:r>
        <w:rPr>
          <w:rFonts w:hint="default" w:ascii="Times New Roman" w:hAnsi="Times New Roman" w:cs="Times New Roman" w:eastAsiaTheme="minorEastAsia"/>
          <w:b w:val="0"/>
          <w:bCs w:val="0"/>
          <w:sz w:val="24"/>
          <w:szCs w:val="24"/>
          <w:shd w:val="clear" w:color="auto" w:fill="FFFFFF"/>
          <w:lang w:val="en-US" w:eastAsia="zh-CN"/>
        </w:rPr>
        <w:t>4</w:t>
      </w:r>
      <w:r>
        <w:rPr>
          <w:rFonts w:hint="default" w:ascii="Times New Roman" w:hAnsi="Times New Roman" w:cs="Times New Roman" w:eastAsiaTheme="minorEastAsia"/>
          <w:b w:val="0"/>
          <w:bCs w:val="0"/>
          <w:sz w:val="24"/>
          <w:szCs w:val="24"/>
          <w:shd w:val="clear" w:color="auto" w:fill="FFFFFF"/>
        </w:rPr>
        <w:t>）总量核算结果及达标情况</w:t>
      </w:r>
    </w:p>
    <w:p>
      <w:pPr>
        <w:spacing w:after="0" w:line="440" w:lineRule="exact"/>
        <w:ind w:firstLine="480" w:firstLineChars="200"/>
        <w:rPr>
          <w:rFonts w:hint="default" w:ascii="Times New Roman" w:hAnsi="Times New Roman" w:cs="Times New Roman" w:eastAsiaTheme="minorEastAsia"/>
          <w:b w:val="0"/>
          <w:bCs w:val="0"/>
          <w:sz w:val="24"/>
          <w:szCs w:val="24"/>
          <w:shd w:val="clear" w:color="auto" w:fill="FFFFFF"/>
        </w:rPr>
      </w:pPr>
      <w:r>
        <w:rPr>
          <w:rFonts w:hint="default" w:ascii="Times New Roman" w:hAnsi="Times New Roman" w:cs="Times New Roman" w:eastAsiaTheme="minorEastAsia"/>
          <w:b w:val="0"/>
          <w:bCs w:val="0"/>
          <w:sz w:val="24"/>
          <w:szCs w:val="24"/>
          <w:shd w:val="clear" w:color="auto" w:fill="FFFFFF"/>
        </w:rPr>
        <w:t>根据验收监测期间监测结果及实际工况，折满负荷生产工况后，核算现阶段VOCs量为0.02</w:t>
      </w:r>
      <w:r>
        <w:rPr>
          <w:rFonts w:hint="default" w:ascii="Times New Roman" w:hAnsi="Times New Roman" w:cs="Times New Roman" w:eastAsiaTheme="minorEastAsia"/>
          <w:b w:val="0"/>
          <w:bCs w:val="0"/>
          <w:sz w:val="24"/>
          <w:szCs w:val="24"/>
          <w:shd w:val="clear" w:color="auto" w:fill="FFFFFF"/>
          <w:lang w:val="en-US" w:eastAsia="zh-CN"/>
        </w:rPr>
        <w:t>6</w:t>
      </w:r>
      <w:r>
        <w:rPr>
          <w:rFonts w:hint="default" w:ascii="Times New Roman" w:hAnsi="Times New Roman" w:cs="Times New Roman" w:eastAsiaTheme="minorEastAsia"/>
          <w:b w:val="0"/>
          <w:bCs w:val="0"/>
          <w:sz w:val="24"/>
          <w:szCs w:val="24"/>
          <w:shd w:val="clear" w:color="auto" w:fill="FFFFFF"/>
        </w:rPr>
        <w:t>t/a，未超过环评预测的总量控制指标0.044t/a。</w:t>
      </w:r>
    </w:p>
    <w:p>
      <w:pPr>
        <w:spacing w:after="0" w:line="440" w:lineRule="exact"/>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shd w:val="clear" w:color="auto" w:fill="FFFFFF"/>
        </w:rPr>
        <w:t xml:space="preserve">五、验收结论 </w:t>
      </w:r>
    </w:p>
    <w:p>
      <w:pPr>
        <w:spacing w:after="0" w:line="440" w:lineRule="exact"/>
        <w:ind w:firstLine="480" w:firstLineChars="200"/>
        <w:rPr>
          <w:rFonts w:ascii="Times New Roman" w:hAnsi="Times New Roman" w:cs="Times New Roman" w:eastAsiaTheme="minorEastAsia"/>
          <w:b/>
          <w:bCs/>
          <w:sz w:val="24"/>
          <w:szCs w:val="24"/>
        </w:rPr>
      </w:pPr>
      <w:r>
        <w:rPr>
          <w:rFonts w:ascii="Times New Roman" w:hAnsi="Times New Roman" w:cs="Times New Roman" w:eastAsiaTheme="minorEastAsia"/>
          <w:sz w:val="24"/>
          <w:szCs w:val="24"/>
        </w:rPr>
        <w:t>验收组通过现场检查和审阅有关资料，经认真讨论后认为：该项目环保审批手续完备，各项污染治理措施落实，项目竣工</w:t>
      </w:r>
      <w:r>
        <w:rPr>
          <w:rFonts w:ascii="Times New Roman" w:hAnsi="Times New Roman" w:cs="Times New Roman" w:eastAsiaTheme="minorEastAsia"/>
          <w:bCs/>
          <w:sz w:val="24"/>
          <w:szCs w:val="24"/>
        </w:rPr>
        <w:t>环境保护设施</w:t>
      </w:r>
      <w:r>
        <w:rPr>
          <w:rFonts w:ascii="Times New Roman" w:hAnsi="Times New Roman" w:cs="Times New Roman" w:eastAsiaTheme="minorEastAsia"/>
          <w:sz w:val="24"/>
          <w:szCs w:val="24"/>
        </w:rPr>
        <w:t>通过验收。</w:t>
      </w:r>
    </w:p>
    <w:p>
      <w:pPr>
        <w:spacing w:after="0" w:line="440" w:lineRule="exact"/>
        <w:ind w:firstLine="482" w:firstLineChars="200"/>
        <w:rPr>
          <w:rFonts w:ascii="Times New Roman" w:hAnsi="Times New Roman" w:cs="Times New Roman" w:eastAsiaTheme="minorEastAsia"/>
          <w:b/>
          <w:bCs/>
          <w:sz w:val="24"/>
          <w:szCs w:val="24"/>
          <w:shd w:val="clear" w:color="auto" w:fill="FFFFFF"/>
        </w:rPr>
      </w:pPr>
      <w:r>
        <w:rPr>
          <w:rFonts w:ascii="Times New Roman" w:hAnsi="Times New Roman" w:cs="Times New Roman" w:eastAsiaTheme="minorEastAsia"/>
          <w:b/>
          <w:bCs/>
          <w:sz w:val="24"/>
          <w:szCs w:val="24"/>
          <w:shd w:val="clear" w:color="auto" w:fill="FFFFFF"/>
        </w:rPr>
        <w:t>六、后续要求</w:t>
      </w:r>
    </w:p>
    <w:p>
      <w:pPr>
        <w:spacing w:after="0" w:line="440" w:lineRule="exact"/>
        <w:ind w:firstLine="468" w:firstLineChars="195"/>
        <w:rPr>
          <w:rFonts w:ascii="Times New Roman" w:hAnsi="Times New Roman" w:cs="Times New Roman" w:eastAsiaTheme="minorEastAsia"/>
          <w:sz w:val="24"/>
          <w:szCs w:val="24"/>
        </w:rPr>
      </w:pPr>
      <w:r>
        <w:rPr>
          <w:rFonts w:ascii="Times New Roman" w:hAnsi="Times New Roman" w:cs="Times New Roman" w:eastAsiaTheme="minorEastAsia"/>
          <w:sz w:val="24"/>
          <w:szCs w:val="24"/>
        </w:rPr>
        <w:t>1、加强对各环保处理设施的日常管理，确保环保设施的正常运行，做到外排污染物能长期、稳定达标排放。</w:t>
      </w:r>
    </w:p>
    <w:p>
      <w:pPr>
        <w:spacing w:after="0" w:line="440" w:lineRule="exact"/>
        <w:ind w:firstLine="468" w:firstLineChars="195"/>
        <w:rPr>
          <w:rFonts w:ascii="Times New Roman" w:hAnsi="Times New Roman" w:cs="Times New Roman" w:eastAsiaTheme="minorEastAsia"/>
          <w:sz w:val="24"/>
          <w:szCs w:val="24"/>
        </w:rPr>
      </w:pPr>
      <w:r>
        <w:rPr>
          <w:rFonts w:ascii="Times New Roman" w:hAnsi="Times New Roman" w:cs="Times New Roman" w:eastAsiaTheme="minorEastAsia"/>
          <w:sz w:val="24"/>
          <w:szCs w:val="24"/>
        </w:rPr>
        <w:t>2、进一步加强企业内部环境管理，有效推进企业清洁生产审核和技术改造，提高生产技术和污染防治水平。</w:t>
      </w:r>
    </w:p>
    <w:p>
      <w:pPr>
        <w:spacing w:after="0" w:line="440" w:lineRule="exact"/>
        <w:ind w:firstLine="468" w:firstLineChars="195"/>
        <w:rPr>
          <w:rFonts w:ascii="Times New Roman" w:hAnsi="Times New Roman" w:cs="Times New Roman" w:eastAsiaTheme="minorEastAsia"/>
          <w:sz w:val="24"/>
          <w:szCs w:val="24"/>
        </w:rPr>
      </w:pPr>
      <w:r>
        <w:rPr>
          <w:rFonts w:ascii="Times New Roman" w:hAnsi="Times New Roman" w:cs="Times New Roman" w:eastAsiaTheme="minorEastAsia"/>
          <w:sz w:val="24"/>
          <w:szCs w:val="24"/>
        </w:rPr>
        <w:t>3、积极做好固废的回收暂存工作，做好生产废物全过程的管理工作，建立规范的处置台账。</w:t>
      </w:r>
    </w:p>
    <w:p>
      <w:pPr>
        <w:spacing w:after="0" w:line="440" w:lineRule="exact"/>
        <w:ind w:firstLine="468" w:firstLineChars="195"/>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4</w:t>
      </w:r>
      <w:r>
        <w:rPr>
          <w:rFonts w:ascii="Times New Roman" w:hAnsi="Times New Roman" w:cs="Times New Roman" w:eastAsiaTheme="minorEastAsia"/>
          <w:sz w:val="24"/>
          <w:szCs w:val="24"/>
        </w:rPr>
        <w:t>、依据环保部《建设项目竣工环境保护验收暂行办法》（国环规环评【2017】4号）完善网上填报等工作。</w:t>
      </w:r>
    </w:p>
    <w:p>
      <w:pPr>
        <w:spacing w:after="0" w:line="440" w:lineRule="exact"/>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5</w:t>
      </w:r>
      <w:r>
        <w:rPr>
          <w:rFonts w:ascii="Times New Roman" w:hAnsi="Times New Roman" w:cs="Times New Roman" w:eastAsiaTheme="minorEastAsia"/>
          <w:sz w:val="24"/>
          <w:szCs w:val="24"/>
        </w:rPr>
        <w:t>、完善验收监测报告，健全环境管理台账、运行记录和环保档案。</w:t>
      </w:r>
    </w:p>
    <w:p>
      <w:pPr>
        <w:spacing w:after="0" w:line="440" w:lineRule="exact"/>
        <w:ind w:firstLine="482" w:firstLineChars="200"/>
        <w:rPr>
          <w:rFonts w:ascii="Times New Roman" w:hAnsi="Times New Roman" w:cs="Times New Roman" w:eastAsiaTheme="minorEastAsia"/>
          <w:b/>
          <w:bCs/>
          <w:sz w:val="24"/>
          <w:szCs w:val="24"/>
          <w:shd w:val="clear" w:color="auto" w:fill="FFFFFF"/>
        </w:rPr>
      </w:pPr>
      <w:r>
        <w:rPr>
          <w:rFonts w:ascii="Times New Roman" w:hAnsi="Times New Roman" w:cs="Times New Roman" w:eastAsiaTheme="minorEastAsia"/>
          <w:b/>
          <w:bCs/>
          <w:sz w:val="24"/>
          <w:szCs w:val="24"/>
          <w:shd w:val="clear" w:color="auto" w:fill="FFFFFF"/>
        </w:rPr>
        <w:t>七、验收人员信息</w:t>
      </w:r>
    </w:p>
    <w:p>
      <w:pPr>
        <w:spacing w:after="0" w:line="440" w:lineRule="exact"/>
        <w:ind w:firstLine="468" w:firstLineChars="195"/>
        <w:rPr>
          <w:rFonts w:ascii="Times New Roman" w:hAnsi="Times New Roman" w:cs="Times New Roman" w:eastAsiaTheme="minorEastAsia"/>
          <w:sz w:val="24"/>
          <w:szCs w:val="24"/>
        </w:rPr>
      </w:pPr>
      <w:r>
        <w:rPr>
          <w:rFonts w:ascii="Times New Roman" w:hAnsi="Times New Roman" w:cs="Times New Roman" w:eastAsiaTheme="minorEastAsia"/>
          <w:sz w:val="24"/>
          <w:szCs w:val="24"/>
        </w:rPr>
        <w:t>验收参加人员的单位及人员名单、验收负责人（建设单位）、验收人员见附件。</w:t>
      </w:r>
      <w:bookmarkStart w:id="4" w:name="_GoBack"/>
      <w:bookmarkEnd w:id="4"/>
    </w:p>
    <w:p>
      <w:pPr>
        <w:tabs>
          <w:tab w:val="left" w:pos="1269"/>
        </w:tabs>
        <w:spacing w:after="0" w:line="440" w:lineRule="exact"/>
        <w:jc w:val="right"/>
        <w:rPr>
          <w:rFonts w:ascii="Times New Roman" w:hAnsi="Times New Roman" w:cs="Times New Roman" w:eastAsiaTheme="minorEastAsia"/>
        </w:rPr>
      </w:pPr>
      <w:r>
        <w:rPr>
          <w:rFonts w:ascii="Times New Roman" w:hAnsi="Times New Roman" w:cs="Times New Roman" w:eastAsiaTheme="minorEastAsia"/>
          <w:sz w:val="24"/>
          <w:szCs w:val="24"/>
        </w:rPr>
        <w:t>201</w:t>
      </w:r>
      <w:r>
        <w:rPr>
          <w:rFonts w:hint="eastAsia" w:ascii="Times New Roman" w:hAnsi="Times New Roman" w:cs="Times New Roman" w:eastAsiaTheme="minorEastAsia"/>
          <w:sz w:val="24"/>
          <w:szCs w:val="24"/>
        </w:rPr>
        <w:t>9</w:t>
      </w:r>
      <w:r>
        <w:rPr>
          <w:rFonts w:ascii="Times New Roman" w:hAnsi="Times New Roman" w:cs="Times New Roman" w:eastAsiaTheme="minorEastAsia"/>
          <w:sz w:val="24"/>
          <w:szCs w:val="24"/>
        </w:rPr>
        <w:t>年</w:t>
      </w:r>
      <w:r>
        <w:rPr>
          <w:rFonts w:hint="eastAsia" w:ascii="Times New Roman" w:hAnsi="Times New Roman" w:cs="Times New Roman" w:eastAsiaTheme="minorEastAsia"/>
          <w:sz w:val="24"/>
          <w:szCs w:val="24"/>
          <w:lang w:val="en-US" w:eastAsia="zh-CN"/>
        </w:rPr>
        <w:t>10</w:t>
      </w:r>
      <w:r>
        <w:rPr>
          <w:rFonts w:ascii="Times New Roman" w:hAnsi="Times New Roman" w:cs="Times New Roman" w:eastAsiaTheme="minorEastAsia"/>
          <w:sz w:val="24"/>
          <w:szCs w:val="24"/>
        </w:rPr>
        <w:t>月</w:t>
      </w:r>
      <w:r>
        <w:rPr>
          <w:rFonts w:hint="eastAsia" w:ascii="Times New Roman" w:hAnsi="Times New Roman" w:cs="Times New Roman" w:eastAsiaTheme="minorEastAsia"/>
          <w:sz w:val="24"/>
          <w:szCs w:val="24"/>
          <w:lang w:val="en-US" w:eastAsia="zh-CN"/>
        </w:rPr>
        <w:t>27</w:t>
      </w:r>
      <w:r>
        <w:rPr>
          <w:rFonts w:ascii="Times New Roman" w:hAnsi="Times New Roman" w:cs="Times New Roman" w:eastAsiaTheme="minorEastAsia"/>
          <w:sz w:val="24"/>
          <w:szCs w:val="24"/>
        </w:rPr>
        <w:t>日</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G Times">
    <w:altName w:val="Times New Roman"/>
    <w:panose1 w:val="00000000000000000000"/>
    <w:charset w:val="00"/>
    <w:family w:val="roman"/>
    <w:pitch w:val="default"/>
    <w:sig w:usb0="00000000"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170A49"/>
    <w:rsid w:val="001C7D1B"/>
    <w:rsid w:val="001E1E58"/>
    <w:rsid w:val="00323B43"/>
    <w:rsid w:val="003D37D8"/>
    <w:rsid w:val="00426133"/>
    <w:rsid w:val="004358AB"/>
    <w:rsid w:val="004B3C71"/>
    <w:rsid w:val="008B7726"/>
    <w:rsid w:val="00BB0135"/>
    <w:rsid w:val="00D31D50"/>
    <w:rsid w:val="00EB624B"/>
    <w:rsid w:val="02650360"/>
    <w:rsid w:val="09A97634"/>
    <w:rsid w:val="0B8E15FE"/>
    <w:rsid w:val="0C20240D"/>
    <w:rsid w:val="0FFD72EA"/>
    <w:rsid w:val="10811AE5"/>
    <w:rsid w:val="140C635C"/>
    <w:rsid w:val="146A058F"/>
    <w:rsid w:val="146C3C77"/>
    <w:rsid w:val="162D4764"/>
    <w:rsid w:val="168E05DA"/>
    <w:rsid w:val="1A3B091B"/>
    <w:rsid w:val="1A632D33"/>
    <w:rsid w:val="22E42A1D"/>
    <w:rsid w:val="23581E42"/>
    <w:rsid w:val="24EE06E5"/>
    <w:rsid w:val="279A39DD"/>
    <w:rsid w:val="28380E6D"/>
    <w:rsid w:val="2E596F10"/>
    <w:rsid w:val="2FAD4184"/>
    <w:rsid w:val="3254697A"/>
    <w:rsid w:val="32755B82"/>
    <w:rsid w:val="32AA6474"/>
    <w:rsid w:val="341576D4"/>
    <w:rsid w:val="34936BA4"/>
    <w:rsid w:val="37BF4BAF"/>
    <w:rsid w:val="37CC5C19"/>
    <w:rsid w:val="3A1E4F57"/>
    <w:rsid w:val="3A34057F"/>
    <w:rsid w:val="3C5E0008"/>
    <w:rsid w:val="3CFD55CA"/>
    <w:rsid w:val="3EEB4693"/>
    <w:rsid w:val="43393C21"/>
    <w:rsid w:val="434336C5"/>
    <w:rsid w:val="436A7CEE"/>
    <w:rsid w:val="4461377F"/>
    <w:rsid w:val="493C4E53"/>
    <w:rsid w:val="49525987"/>
    <w:rsid w:val="49E552D6"/>
    <w:rsid w:val="4A040589"/>
    <w:rsid w:val="4A4D334A"/>
    <w:rsid w:val="4C527774"/>
    <w:rsid w:val="4C814558"/>
    <w:rsid w:val="4C9F0063"/>
    <w:rsid w:val="4EA71A33"/>
    <w:rsid w:val="4EBA2FE4"/>
    <w:rsid w:val="4F092101"/>
    <w:rsid w:val="4F961E97"/>
    <w:rsid w:val="50226525"/>
    <w:rsid w:val="531935A4"/>
    <w:rsid w:val="55B47AE0"/>
    <w:rsid w:val="59BC69FA"/>
    <w:rsid w:val="5A074316"/>
    <w:rsid w:val="5CD048E4"/>
    <w:rsid w:val="5D3C6DEE"/>
    <w:rsid w:val="5DF37B0E"/>
    <w:rsid w:val="5E663D65"/>
    <w:rsid w:val="5E9071F2"/>
    <w:rsid w:val="5F51174A"/>
    <w:rsid w:val="5F6821AA"/>
    <w:rsid w:val="601A2A9A"/>
    <w:rsid w:val="605914CD"/>
    <w:rsid w:val="61DA365F"/>
    <w:rsid w:val="62246503"/>
    <w:rsid w:val="625F4B05"/>
    <w:rsid w:val="62A81900"/>
    <w:rsid w:val="62EA3CEE"/>
    <w:rsid w:val="639C5932"/>
    <w:rsid w:val="64DE2DD4"/>
    <w:rsid w:val="65131082"/>
    <w:rsid w:val="67297CEB"/>
    <w:rsid w:val="6A1F4EC2"/>
    <w:rsid w:val="6C225BD8"/>
    <w:rsid w:val="73505875"/>
    <w:rsid w:val="770D7773"/>
    <w:rsid w:val="78186836"/>
    <w:rsid w:val="7EA63C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4">
    <w:name w:val="heading 3"/>
    <w:basedOn w:val="1"/>
    <w:next w:val="1"/>
    <w:unhideWhenUsed/>
    <w:qFormat/>
    <w:uiPriority w:val="9"/>
    <w:pPr>
      <w:keepNext/>
      <w:keepLines/>
      <w:spacing w:after="0" w:line="360" w:lineRule="auto"/>
      <w:outlineLvl w:val="2"/>
    </w:pPr>
    <w:rPr>
      <w:rFonts w:ascii="Times New Roman" w:hAnsi="Times New Roman" w:eastAsia="宋体"/>
      <w:b/>
      <w:bCs/>
      <w:sz w:val="28"/>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after="120" w:line="240" w:lineRule="auto"/>
      <w:ind w:left="420" w:leftChars="200" w:firstLine="420"/>
    </w:pPr>
    <w:rPr>
      <w:rFonts w:ascii="Tahoma" w:hAnsi="Tahoma"/>
    </w:rPr>
  </w:style>
  <w:style w:type="paragraph" w:styleId="3">
    <w:name w:val="Body Text Indent"/>
    <w:basedOn w:val="1"/>
    <w:unhideWhenUsed/>
    <w:qFormat/>
    <w:uiPriority w:val="99"/>
    <w:pPr>
      <w:spacing w:line="360" w:lineRule="auto"/>
      <w:ind w:firstLine="560" w:firstLineChars="200"/>
    </w:pPr>
    <w:rPr>
      <w:rFonts w:ascii="CG Times" w:hAnsi="CG Times"/>
    </w:rPr>
  </w:style>
  <w:style w:type="paragraph" w:styleId="5">
    <w:name w:val="annotation text"/>
    <w:basedOn w:val="1"/>
    <w:qFormat/>
    <w:uiPriority w:val="0"/>
    <w:rPr>
      <w:rFonts w:ascii="Calibri" w:hAnsi="Calibri" w:cs="Times New Roman"/>
    </w:rPr>
  </w:style>
  <w:style w:type="paragraph" w:styleId="6">
    <w:name w:val="Body Text"/>
    <w:basedOn w:val="1"/>
    <w:qFormat/>
    <w:uiPriority w:val="0"/>
    <w:pPr>
      <w:jc w:val="center"/>
    </w:pPr>
    <w:rPr>
      <w:rFonts w:ascii="宋体" w:hAnsi="宋体"/>
      <w:sz w:val="72"/>
      <w:szCs w:val="24"/>
    </w:rPr>
  </w:style>
  <w:style w:type="paragraph" w:styleId="7">
    <w:name w:val="Body Text Indent 2"/>
    <w:basedOn w:val="1"/>
    <w:link w:val="15"/>
    <w:qFormat/>
    <w:uiPriority w:val="0"/>
    <w:pPr>
      <w:widowControl w:val="0"/>
      <w:adjustRightInd/>
      <w:snapToGrid/>
      <w:spacing w:after="120" w:line="480" w:lineRule="auto"/>
      <w:ind w:left="420" w:leftChars="200"/>
      <w:jc w:val="both"/>
    </w:pPr>
    <w:rPr>
      <w:rFonts w:ascii="Calibri" w:hAnsi="Calibri" w:eastAsia="宋体" w:cs="Times New Roman"/>
      <w:kern w:val="2"/>
      <w:sz w:val="21"/>
    </w:rPr>
  </w:style>
  <w:style w:type="paragraph" w:styleId="8">
    <w:name w:val="footer"/>
    <w:basedOn w:val="1"/>
    <w:link w:val="21"/>
    <w:unhideWhenUsed/>
    <w:qFormat/>
    <w:uiPriority w:val="99"/>
    <w:pPr>
      <w:tabs>
        <w:tab w:val="center" w:pos="4153"/>
        <w:tab w:val="right" w:pos="8306"/>
      </w:tabs>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qFormat/>
    <w:uiPriority w:val="0"/>
    <w:rPr>
      <w:sz w:val="21"/>
      <w:szCs w:val="21"/>
    </w:rPr>
  </w:style>
  <w:style w:type="paragraph" w:customStyle="1" w:styleId="14">
    <w:name w:val="Default"/>
    <w:unhideWhenUsed/>
    <w:qFormat/>
    <w:uiPriority w:val="0"/>
    <w:pPr>
      <w:widowControl w:val="0"/>
      <w:autoSpaceDE w:val="0"/>
      <w:autoSpaceDN w:val="0"/>
      <w:adjustRightInd w:val="0"/>
    </w:pPr>
    <w:rPr>
      <w:rFonts w:hint="eastAsia" w:ascii="黑体" w:hAnsi="黑体" w:eastAsia="黑体" w:cs="Times New Roman"/>
      <w:color w:val="000000"/>
      <w:sz w:val="24"/>
      <w:szCs w:val="22"/>
      <w:lang w:val="en-US" w:eastAsia="zh-CN" w:bidi="ar-SA"/>
    </w:rPr>
  </w:style>
  <w:style w:type="character" w:customStyle="1" w:styleId="15">
    <w:name w:val="正文文本缩进 2 字符"/>
    <w:basedOn w:val="12"/>
    <w:link w:val="7"/>
    <w:qFormat/>
    <w:uiPriority w:val="0"/>
    <w:rPr>
      <w:rFonts w:ascii="Calibri" w:hAnsi="Calibri" w:eastAsia="宋体" w:cs="Times New Roman"/>
      <w:kern w:val="2"/>
      <w:sz w:val="21"/>
    </w:rPr>
  </w:style>
  <w:style w:type="paragraph" w:customStyle="1" w:styleId="16">
    <w:name w:val="样式3"/>
    <w:basedOn w:val="1"/>
    <w:qFormat/>
    <w:uiPriority w:val="0"/>
    <w:pPr>
      <w:adjustRightInd/>
      <w:snapToGrid/>
      <w:spacing w:after="0" w:line="360" w:lineRule="auto"/>
      <w:ind w:firstLine="480" w:firstLineChars="200"/>
    </w:pPr>
    <w:rPr>
      <w:rFonts w:ascii="Calibri" w:hAnsi="Calibri" w:eastAsia="宋体" w:cs="Times New Roman"/>
      <w:sz w:val="24"/>
    </w:rPr>
  </w:style>
  <w:style w:type="paragraph" w:customStyle="1" w:styleId="17">
    <w:name w:val="样式38"/>
    <w:basedOn w:val="1"/>
    <w:qFormat/>
    <w:uiPriority w:val="0"/>
    <w:pPr>
      <w:adjustRightInd/>
      <w:snapToGrid/>
      <w:spacing w:after="0" w:line="360" w:lineRule="auto"/>
      <w:jc w:val="center"/>
      <w:outlineLvl w:val="0"/>
    </w:pPr>
    <w:rPr>
      <w:rFonts w:ascii="Times New Roman" w:hAnsi="Times New Roman" w:eastAsia="宋体" w:cs="Times New Roman"/>
      <w:color w:val="000000"/>
      <w:sz w:val="28"/>
      <w:szCs w:val="28"/>
    </w:rPr>
  </w:style>
  <w:style w:type="paragraph" w:styleId="18">
    <w:name w:val="List Paragraph"/>
    <w:basedOn w:val="1"/>
    <w:qFormat/>
    <w:uiPriority w:val="34"/>
    <w:pPr>
      <w:widowControl w:val="0"/>
      <w:adjustRightInd/>
      <w:snapToGrid/>
      <w:spacing w:after="0"/>
      <w:ind w:firstLine="420" w:firstLineChars="200"/>
      <w:jc w:val="both"/>
    </w:pPr>
    <w:rPr>
      <w:rFonts w:ascii="Times New Roman" w:hAnsi="Times New Roman" w:eastAsia="宋体" w:cs="Times New Roman"/>
      <w:kern w:val="2"/>
      <w:sz w:val="21"/>
      <w:szCs w:val="24"/>
    </w:rPr>
  </w:style>
  <w:style w:type="paragraph" w:customStyle="1" w:styleId="19">
    <w:name w:val="样式2"/>
    <w:basedOn w:val="1"/>
    <w:qFormat/>
    <w:uiPriority w:val="0"/>
    <w:pPr>
      <w:spacing w:before="80" w:after="80"/>
      <w:ind w:firstLine="480"/>
    </w:pPr>
    <w:rPr>
      <w:rFonts w:ascii="Times New Roman" w:hAnsi="Times New Roman" w:cs="Times New Roman"/>
      <w:szCs w:val="24"/>
    </w:rPr>
  </w:style>
  <w:style w:type="character" w:customStyle="1" w:styleId="20">
    <w:name w:val="页眉 字符"/>
    <w:basedOn w:val="12"/>
    <w:link w:val="9"/>
    <w:qFormat/>
    <w:uiPriority w:val="99"/>
    <w:rPr>
      <w:rFonts w:ascii="Tahoma" w:hAnsi="Tahoma" w:eastAsia="微软雅黑"/>
      <w:sz w:val="18"/>
      <w:szCs w:val="18"/>
    </w:rPr>
  </w:style>
  <w:style w:type="character" w:customStyle="1" w:styleId="21">
    <w:name w:val="页脚 字符"/>
    <w:basedOn w:val="12"/>
    <w:link w:val="8"/>
    <w:qFormat/>
    <w:uiPriority w:val="99"/>
    <w:rPr>
      <w:rFonts w:ascii="Tahoma" w:hAnsi="Tahoma" w:eastAsia="微软雅黑"/>
      <w:sz w:val="18"/>
      <w:szCs w:val="18"/>
    </w:rPr>
  </w:style>
  <w:style w:type="character" w:customStyle="1" w:styleId="22">
    <w:name w:val="fontstyle01"/>
    <w:basedOn w:val="12"/>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387</Words>
  <Characters>2206</Characters>
  <Lines>18</Lines>
  <Paragraphs>5</Paragraphs>
  <TotalTime>2</TotalTime>
  <ScaleCrop>false</ScaleCrop>
  <LinksUpToDate>false</LinksUpToDate>
  <CharactersWithSpaces>2588</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Z y</cp:lastModifiedBy>
  <cp:lastPrinted>2019-04-30T00:58:00Z</cp:lastPrinted>
  <dcterms:modified xsi:type="dcterms:W3CDTF">2019-10-24T09:08:05Z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